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437CC60" w:rsidR="00A243CD" w:rsidRDefault="00452612">
      <w:pPr>
        <w:pBdr>
          <w:top w:val="nil"/>
          <w:left w:val="nil"/>
          <w:bottom w:val="nil"/>
          <w:right w:val="nil"/>
          <w:between w:val="nil"/>
        </w:pBdr>
        <w:spacing w:after="280" w:line="24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TÉMATICKÉ OKRUHY pro státní závěrečné zkoušky                                         v akademickém roce 202</w:t>
      </w:r>
      <w:r>
        <w:rPr>
          <w:b/>
          <w:i/>
          <w:sz w:val="28"/>
          <w:szCs w:val="28"/>
        </w:rPr>
        <w:t>5</w:t>
      </w:r>
      <w:r>
        <w:rPr>
          <w:b/>
          <w:i/>
          <w:color w:val="000000"/>
          <w:sz w:val="28"/>
          <w:szCs w:val="28"/>
        </w:rPr>
        <w:t>/202</w:t>
      </w:r>
      <w:r>
        <w:rPr>
          <w:b/>
          <w:i/>
          <w:sz w:val="28"/>
          <w:szCs w:val="28"/>
        </w:rPr>
        <w:t>6</w:t>
      </w:r>
    </w:p>
    <w:p w14:paraId="00000002" w14:textId="77777777" w:rsidR="00A243CD" w:rsidRDefault="00A243C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16"/>
          <w:szCs w:val="16"/>
        </w:rPr>
      </w:pPr>
    </w:p>
    <w:p w14:paraId="00000003" w14:textId="77777777" w:rsidR="00A243CD" w:rsidRDefault="0045261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Navazující magisterské kombinované studium</w:t>
      </w:r>
    </w:p>
    <w:p w14:paraId="00000004" w14:textId="77777777" w:rsidR="00A243CD" w:rsidRDefault="0045261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 xml:space="preserve"> Teologické nauky</w:t>
      </w:r>
    </w:p>
    <w:p w14:paraId="00000005" w14:textId="77777777" w:rsidR="00A243CD" w:rsidRDefault="00A243C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Calibri" w:eastAsia="Calibri" w:hAnsi="Calibri" w:cs="Calibri"/>
          <w:color w:val="000000"/>
          <w:sz w:val="32"/>
          <w:szCs w:val="32"/>
        </w:rPr>
      </w:pPr>
    </w:p>
    <w:p w14:paraId="00000006" w14:textId="77777777" w:rsidR="00A243CD" w:rsidRDefault="0045261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Dogmatická teologie</w:t>
      </w:r>
    </w:p>
    <w:p w14:paraId="00000007" w14:textId="77777777" w:rsidR="00A243CD" w:rsidRDefault="00452612">
      <w:pPr>
        <w:spacing w:before="240" w:after="240"/>
        <w:ind w:left="0" w:hanging="2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Průběh zkoušky</w:t>
      </w:r>
      <w:bookmarkStart w:id="0" w:name="_GoBack"/>
      <w:bookmarkEnd w:id="0"/>
    </w:p>
    <w:p w14:paraId="00000008" w14:textId="77777777" w:rsidR="00A243CD" w:rsidRDefault="00452612">
      <w:pPr>
        <w:spacing w:before="240" w:after="240"/>
        <w:ind w:left="0" w:hanging="2"/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I. Prezentace tématu</w:t>
      </w:r>
      <w:r>
        <w:rPr>
          <w:sz w:val="22"/>
          <w:szCs w:val="22"/>
        </w:rPr>
        <w:t>: student představí nejdůležitější tematické okruhy zvolené otázky. Učiní tak uceleně a v hlavních liniích, aniž by zabíhal do detailů. Hodnotí se vhled do problematiky a schopnost syntézy, která zohlední biblický základ, dějiny nauky a</w:t>
      </w:r>
      <w:r>
        <w:rPr>
          <w:i/>
          <w:sz w:val="22"/>
          <w:szCs w:val="22"/>
        </w:rPr>
        <w:t xml:space="preserve"> intellectus fidei</w:t>
      </w:r>
      <w:r>
        <w:rPr>
          <w:sz w:val="22"/>
          <w:szCs w:val="22"/>
        </w:rPr>
        <w:t>. Student vychází z poznatků a bibliografie získaných během dosavadního studia a během přípravy na SZZ. V této části zkoušky se nevěnuje pozornost zvolenému textu, o kterém se bude hovořit až následně! Čas: 5 min.</w:t>
      </w:r>
    </w:p>
    <w:p w14:paraId="00000009" w14:textId="77777777" w:rsidR="00A243CD" w:rsidRDefault="00452612">
      <w:pPr>
        <w:spacing w:before="240" w:after="240"/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>Pro získání hodnocení A se vyžaduje: Stude</w:t>
      </w:r>
      <w:r>
        <w:rPr>
          <w:sz w:val="22"/>
          <w:szCs w:val="22"/>
        </w:rPr>
        <w:t>nt přehledně a samostatně představí nejdůležitější body nauky.</w:t>
      </w:r>
    </w:p>
    <w:p w14:paraId="0000000A" w14:textId="77777777" w:rsidR="00A243CD" w:rsidRDefault="00452612">
      <w:pPr>
        <w:spacing w:before="240" w:after="240"/>
        <w:ind w:left="0" w:hanging="2"/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II. Práce se zvoleným textem</w:t>
      </w:r>
      <w:r>
        <w:rPr>
          <w:sz w:val="22"/>
          <w:szCs w:val="22"/>
        </w:rPr>
        <w:t>: Student si u každého tématu vybere jeden z textů, kterému se věnoval během přípravy na SZZ. Jeho úkolem bude: 1)  Představit zvolený text (hlavní teze, metoda, arg</w:t>
      </w:r>
      <w:r>
        <w:rPr>
          <w:sz w:val="22"/>
          <w:szCs w:val="22"/>
        </w:rPr>
        <w:t>umentace autora textu) ; 2) Vést nad textem dialog se zkoušejícím. Hodnotí se schopnost správně interpretovat autora, zaujmout k textu vlastní postoj a srozumitelně a věcně jej prezentovat. Čas: 15 min.</w:t>
      </w:r>
    </w:p>
    <w:p w14:paraId="0000000B" w14:textId="77777777" w:rsidR="00A243CD" w:rsidRDefault="00452612">
      <w:pPr>
        <w:spacing w:before="240" w:after="240"/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>Pro získání hodnocení A se vyžaduje: Student představ</w:t>
      </w:r>
      <w:r>
        <w:rPr>
          <w:sz w:val="22"/>
          <w:szCs w:val="22"/>
        </w:rPr>
        <w:t>í autorovu argumentaci i metodu výstižně a samostatně. Na otázky nad textem odpovídá věcně a správně, formuluje vlastní teologický názor a umí jej náležitě odůvodnit. Používá jasnou terminologii.</w:t>
      </w:r>
    </w:p>
    <w:p w14:paraId="0000000C" w14:textId="77777777" w:rsidR="00A243CD" w:rsidRDefault="00452612">
      <w:pPr>
        <w:spacing w:before="240" w:after="240"/>
        <w:ind w:left="0" w:hanging="2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Seznam témat</w:t>
      </w:r>
    </w:p>
    <w:p w14:paraId="0000000D" w14:textId="77777777" w:rsidR="00A243CD" w:rsidRDefault="00452612">
      <w:pPr>
        <w:spacing w:before="240" w:after="240"/>
        <w:ind w:left="0" w:hanging="2"/>
        <w:jc w:val="both"/>
      </w:pPr>
      <w:r>
        <w:rPr>
          <w:b/>
        </w:rPr>
        <w:t>1. Teologická metoda ve světle dokumentů 2. vat</w:t>
      </w:r>
      <w:r>
        <w:rPr>
          <w:b/>
        </w:rPr>
        <w:t>ikánského koncilu (OT 16, UR 11 a 17, DV)</w:t>
      </w:r>
    </w:p>
    <w:p w14:paraId="0000000E" w14:textId="77777777" w:rsidR="00A243CD" w:rsidRDefault="00452612">
      <w:pPr>
        <w:numPr>
          <w:ilvl w:val="0"/>
          <w:numId w:val="1"/>
        </w:numPr>
        <w:ind w:left="0" w:hanging="2"/>
        <w:jc w:val="both"/>
      </w:pPr>
      <w:r>
        <w:t xml:space="preserve">MTK, </w:t>
      </w:r>
      <w:r>
        <w:rPr>
          <w:i/>
        </w:rPr>
        <w:t>Teologie dnes</w:t>
      </w:r>
      <w:r>
        <w:t>, Olomouc: VUP, 2012, s. 13-45 (Kapitoly 1-2).</w:t>
      </w:r>
    </w:p>
    <w:p w14:paraId="0000000F" w14:textId="77777777" w:rsidR="00A243CD" w:rsidRDefault="00452612">
      <w:pPr>
        <w:numPr>
          <w:ilvl w:val="0"/>
          <w:numId w:val="1"/>
        </w:numPr>
        <w:ind w:left="0" w:hanging="2"/>
        <w:jc w:val="both"/>
      </w:pPr>
      <w:r>
        <w:rPr>
          <w:smallCaps/>
        </w:rPr>
        <w:t>R. Fisichella</w:t>
      </w:r>
      <w:r>
        <w:t xml:space="preserve">, Dei verbum audiens et proclamans: Písmo a Tradice jako pramen Božího slova, </w:t>
      </w:r>
      <w:r>
        <w:rPr>
          <w:i/>
        </w:rPr>
        <w:t>MKR Communio</w:t>
      </w:r>
      <w:r>
        <w:t xml:space="preserve"> 3-4 (2001), s. 242-253.</w:t>
      </w:r>
    </w:p>
    <w:p w14:paraId="00000010" w14:textId="77777777" w:rsidR="00A243CD" w:rsidRDefault="00452612">
      <w:pPr>
        <w:numPr>
          <w:ilvl w:val="0"/>
          <w:numId w:val="1"/>
        </w:numPr>
        <w:ind w:left="0" w:hanging="2"/>
        <w:jc w:val="both"/>
      </w:pPr>
      <w:r>
        <w:rPr>
          <w:smallCaps/>
        </w:rPr>
        <w:t>P. Henrici</w:t>
      </w:r>
      <w:r>
        <w:t xml:space="preserve">, Posvátná </w:t>
      </w:r>
      <w:r>
        <w:t xml:space="preserve">tradice: Kristovo vědění v učení církve. Opětovné čtení Dějin a dogmatu od Maurice Blondela, </w:t>
      </w:r>
      <w:r>
        <w:rPr>
          <w:i/>
        </w:rPr>
        <w:t>MKR Communio</w:t>
      </w:r>
      <w:r>
        <w:t xml:space="preserve"> 3 (2017), s. 64-78.</w:t>
      </w:r>
    </w:p>
    <w:p w14:paraId="00000011" w14:textId="77777777" w:rsidR="00A243CD" w:rsidRDefault="00452612">
      <w:pPr>
        <w:numPr>
          <w:ilvl w:val="0"/>
          <w:numId w:val="1"/>
        </w:numPr>
        <w:ind w:left="0" w:hanging="2"/>
        <w:jc w:val="both"/>
      </w:pPr>
      <w:r>
        <w:rPr>
          <w:smallCaps/>
        </w:rPr>
        <w:t xml:space="preserve">J. Mikulášek, </w:t>
      </w:r>
      <w:r>
        <w:t>Nesaturovanost Tradice církve</w:t>
      </w:r>
      <w:r>
        <w:rPr>
          <w:smallCaps/>
        </w:rPr>
        <w:t xml:space="preserve">, </w:t>
      </w:r>
      <w:r>
        <w:rPr>
          <w:i/>
        </w:rPr>
        <w:t>Studia theologica</w:t>
      </w:r>
      <w:r>
        <w:t xml:space="preserve"> 20 (2018), s. 49-73.</w:t>
      </w:r>
    </w:p>
    <w:p w14:paraId="00000012" w14:textId="77777777" w:rsidR="00A243CD" w:rsidRDefault="00452612">
      <w:pPr>
        <w:numPr>
          <w:ilvl w:val="0"/>
          <w:numId w:val="1"/>
        </w:numPr>
        <w:spacing w:after="240"/>
        <w:ind w:left="0" w:hanging="2"/>
        <w:jc w:val="both"/>
      </w:pPr>
      <w:r>
        <w:rPr>
          <w:smallCaps/>
        </w:rPr>
        <w:t>L. Žák</w:t>
      </w:r>
      <w:r>
        <w:t>, Přínos II. vatikánského koncilu k obno</w:t>
      </w:r>
      <w:r>
        <w:t xml:space="preserve">vě katolické teologie a její metody, </w:t>
      </w:r>
      <w:r>
        <w:rPr>
          <w:i/>
        </w:rPr>
        <w:t>Studia theologica</w:t>
      </w:r>
      <w:r>
        <w:t xml:space="preserve"> 21 (2019), s. 35-73.</w:t>
      </w:r>
    </w:p>
    <w:p w14:paraId="00000013" w14:textId="77777777" w:rsidR="00A243CD" w:rsidRDefault="0045261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b/>
          <w:color w:val="000000"/>
        </w:rPr>
      </w:pPr>
      <w:r>
        <w:rPr>
          <w:b/>
          <w:color w:val="000000"/>
        </w:rPr>
        <w:t xml:space="preserve">2. Bůh Stvořitel a Boží stvořitelské dílo </w:t>
      </w:r>
    </w:p>
    <w:p w14:paraId="00000014" w14:textId="77777777" w:rsidR="00A243CD" w:rsidRDefault="00A243C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</w:p>
    <w:p w14:paraId="00000015" w14:textId="77777777" w:rsidR="00A243CD" w:rsidRDefault="00452612">
      <w:pPr>
        <w:numPr>
          <w:ilvl w:val="0"/>
          <w:numId w:val="13"/>
        </w:numPr>
        <w:ind w:left="0" w:hanging="2"/>
        <w:jc w:val="both"/>
      </w:pPr>
      <w:r>
        <w:t xml:space="preserve">H.U. von </w:t>
      </w:r>
      <w:r>
        <w:rPr>
          <w:smallCaps/>
        </w:rPr>
        <w:t>Balthasar</w:t>
      </w:r>
      <w:r>
        <w:t xml:space="preserve">, Stvoření a Trojice, in </w:t>
      </w:r>
      <w:r>
        <w:rPr>
          <w:i/>
        </w:rPr>
        <w:t>MKR Communio</w:t>
      </w:r>
      <w:r>
        <w:t xml:space="preserve"> 3 (1997), s. 266–273.</w:t>
      </w:r>
    </w:p>
    <w:p w14:paraId="00000016" w14:textId="77777777" w:rsidR="00A243CD" w:rsidRDefault="00452612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smallCaps/>
          <w:color w:val="000000"/>
        </w:rPr>
        <w:t>František</w:t>
      </w:r>
      <w:r>
        <w:rPr>
          <w:color w:val="000000"/>
        </w:rPr>
        <w:t xml:space="preserve">, encyklika Laudato si’ - </w:t>
      </w:r>
      <w:r>
        <w:rPr>
          <w:i/>
          <w:color w:val="000000"/>
        </w:rPr>
        <w:t xml:space="preserve">Buď pochválen </w:t>
      </w:r>
      <w:r>
        <w:rPr>
          <w:color w:val="000000"/>
        </w:rPr>
        <w:t>(2015), II. kapitola (čl. 62-100), část VI. kapitoly (čl. 238-240).</w:t>
      </w:r>
    </w:p>
    <w:p w14:paraId="00000017" w14:textId="77777777" w:rsidR="00A243CD" w:rsidRDefault="00452612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C.V. </w:t>
      </w:r>
      <w:r>
        <w:rPr>
          <w:smallCaps/>
          <w:color w:val="000000"/>
        </w:rPr>
        <w:t>Pospíšil</w:t>
      </w:r>
      <w:r>
        <w:rPr>
          <w:color w:val="000000"/>
        </w:rPr>
        <w:t xml:space="preserve">, </w:t>
      </w:r>
      <w:r>
        <w:rPr>
          <w:i/>
          <w:color w:val="000000"/>
        </w:rPr>
        <w:t>I řekl Bůh: Trinitární teologie stvoření</w:t>
      </w:r>
      <w:r>
        <w:rPr>
          <w:color w:val="000000"/>
        </w:rPr>
        <w:t>, P</w:t>
      </w:r>
      <w:r>
        <w:t>raha</w:t>
      </w:r>
      <w:r>
        <w:rPr>
          <w:color w:val="000000"/>
        </w:rPr>
        <w:t>: Karolinum, 2019, s. 44–59</w:t>
      </w:r>
    </w:p>
    <w:p w14:paraId="00000018" w14:textId="77777777" w:rsidR="00A243CD" w:rsidRDefault="00452612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P. </w:t>
      </w:r>
      <w:r>
        <w:rPr>
          <w:smallCaps/>
          <w:color w:val="000000"/>
        </w:rPr>
        <w:t>Schmidt</w:t>
      </w:r>
      <w:r>
        <w:rPr>
          <w:color w:val="000000"/>
        </w:rPr>
        <w:t xml:space="preserve">, Věřím v Boha, Stvořitele nebe a země, </w:t>
      </w:r>
      <w:r>
        <w:rPr>
          <w:i/>
          <w:color w:val="000000"/>
        </w:rPr>
        <w:t>MKR Communio</w:t>
      </w:r>
      <w:r>
        <w:rPr>
          <w:color w:val="000000"/>
        </w:rPr>
        <w:t xml:space="preserve"> 3 (1997), s. 254–265</w:t>
      </w:r>
    </w:p>
    <w:p w14:paraId="00000019" w14:textId="77777777" w:rsidR="00A243CD" w:rsidRDefault="00A243C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</w:p>
    <w:p w14:paraId="0000001A" w14:textId="77777777" w:rsidR="00A243CD" w:rsidRDefault="0045261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b/>
        </w:rPr>
      </w:pPr>
      <w:r>
        <w:rPr>
          <w:b/>
          <w:color w:val="000000"/>
        </w:rPr>
        <w:t>3. Duch svatý</w:t>
      </w:r>
      <w:r>
        <w:rPr>
          <w:b/>
          <w:color w:val="000000"/>
        </w:rPr>
        <w:t xml:space="preserve"> v tajemství Trojice a </w:t>
      </w:r>
      <w:r>
        <w:rPr>
          <w:b/>
        </w:rPr>
        <w:t>c</w:t>
      </w:r>
      <w:r>
        <w:rPr>
          <w:b/>
          <w:color w:val="000000"/>
        </w:rPr>
        <w:t>írkve</w:t>
      </w:r>
    </w:p>
    <w:p w14:paraId="0000001B" w14:textId="77777777" w:rsidR="00A243CD" w:rsidRDefault="00A243C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</w:p>
    <w:p w14:paraId="0000001C" w14:textId="77777777" w:rsidR="00A243CD" w:rsidRDefault="00452612">
      <w:pPr>
        <w:numPr>
          <w:ilvl w:val="0"/>
          <w:numId w:val="12"/>
        </w:numPr>
        <w:ind w:left="0" w:hanging="2"/>
        <w:jc w:val="both"/>
      </w:pPr>
      <w:r>
        <w:rPr>
          <w:smallCaps/>
        </w:rPr>
        <w:t>R. Bužek</w:t>
      </w:r>
      <w:r>
        <w:t xml:space="preserve">, Osoba Ducha svatého v pojednání </w:t>
      </w:r>
      <w:r>
        <w:rPr>
          <w:i/>
        </w:rPr>
        <w:t>De Trinitate</w:t>
      </w:r>
      <w:r>
        <w:t xml:space="preserve"> Richarda ze Svatého Viktora, </w:t>
      </w:r>
      <w:r>
        <w:rPr>
          <w:i/>
        </w:rPr>
        <w:t>Studia theologica</w:t>
      </w:r>
      <w:r>
        <w:t xml:space="preserve"> 3 (2013), s. 29-42.</w:t>
      </w:r>
    </w:p>
    <w:p w14:paraId="0000001D" w14:textId="77777777" w:rsidR="00A243CD" w:rsidRDefault="00452612">
      <w:pPr>
        <w:numPr>
          <w:ilvl w:val="0"/>
          <w:numId w:val="12"/>
        </w:numPr>
        <w:ind w:left="0" w:hanging="2"/>
        <w:jc w:val="both"/>
      </w:pPr>
      <w:r>
        <w:rPr>
          <w:smallCaps/>
        </w:rPr>
        <w:t>Jan Pavel II</w:t>
      </w:r>
      <w:r>
        <w:t xml:space="preserve">, </w:t>
      </w:r>
      <w:r>
        <w:rPr>
          <w:i/>
        </w:rPr>
        <w:t xml:space="preserve">Dominum et vivificantem </w:t>
      </w:r>
      <w:r>
        <w:t>(1986), čl. 27-48 (Kapitola 2).</w:t>
      </w:r>
    </w:p>
    <w:p w14:paraId="0000001E" w14:textId="77777777" w:rsidR="00A243CD" w:rsidRDefault="00452612">
      <w:pPr>
        <w:numPr>
          <w:ilvl w:val="0"/>
          <w:numId w:val="12"/>
        </w:numPr>
        <w:ind w:left="0" w:hanging="2"/>
        <w:jc w:val="both"/>
      </w:pPr>
      <w:r>
        <w:lastRenderedPageBreak/>
        <w:t xml:space="preserve">M. </w:t>
      </w:r>
      <w:r>
        <w:rPr>
          <w:smallCaps/>
        </w:rPr>
        <w:t>Figura</w:t>
      </w:r>
      <w:r>
        <w:t xml:space="preserve">, Duch Svatý a Církev, MKR </w:t>
      </w:r>
      <w:r>
        <w:rPr>
          <w:i/>
        </w:rPr>
        <w:t>Communio</w:t>
      </w:r>
      <w:r>
        <w:t>, 3–4 (2000), s. 280–292.</w:t>
      </w:r>
    </w:p>
    <w:p w14:paraId="0000001F" w14:textId="77777777" w:rsidR="00A243CD" w:rsidRDefault="00452612">
      <w:pPr>
        <w:numPr>
          <w:ilvl w:val="0"/>
          <w:numId w:val="12"/>
        </w:numPr>
        <w:ind w:left="0" w:hanging="2"/>
        <w:jc w:val="both"/>
      </w:pPr>
      <w:r>
        <w:t xml:space="preserve">M. </w:t>
      </w:r>
      <w:r>
        <w:rPr>
          <w:smallCaps/>
        </w:rPr>
        <w:t>Ouellet,</w:t>
      </w:r>
      <w:r>
        <w:t xml:space="preserve"> Duch v trinitárním životě, </w:t>
      </w:r>
      <w:r>
        <w:rPr>
          <w:i/>
        </w:rPr>
        <w:t>MKR Communio</w:t>
      </w:r>
      <w:r>
        <w:t xml:space="preserve"> 3-4 (2000), s. 222–233.</w:t>
      </w:r>
    </w:p>
    <w:p w14:paraId="00000020" w14:textId="77777777" w:rsidR="00A243CD" w:rsidRDefault="00452612">
      <w:pPr>
        <w:numPr>
          <w:ilvl w:val="0"/>
          <w:numId w:val="12"/>
        </w:numPr>
        <w:ind w:left="0" w:hanging="2"/>
        <w:jc w:val="both"/>
      </w:pPr>
      <w:r>
        <w:t xml:space="preserve">C.V. </w:t>
      </w:r>
      <w:r>
        <w:rPr>
          <w:smallCaps/>
        </w:rPr>
        <w:t>Pospíšil,</w:t>
      </w:r>
      <w:r>
        <w:t xml:space="preserve"> Základní východiska křesťanské pneumatologie, in </w:t>
      </w:r>
      <w:r>
        <w:rPr>
          <w:i/>
        </w:rPr>
        <w:t>Duch Svatý</w:t>
      </w:r>
      <w:r>
        <w:t>, Velehrad: Refugium, 2000, s. 30–48.</w:t>
      </w:r>
    </w:p>
    <w:p w14:paraId="00000021" w14:textId="77777777" w:rsidR="00A243CD" w:rsidRDefault="00452612">
      <w:pPr>
        <w:numPr>
          <w:ilvl w:val="0"/>
          <w:numId w:val="12"/>
        </w:numPr>
        <w:spacing w:after="240"/>
        <w:ind w:left="0" w:hanging="2"/>
        <w:jc w:val="both"/>
      </w:pPr>
      <w:r>
        <w:t xml:space="preserve">H. </w:t>
      </w:r>
      <w:r>
        <w:rPr>
          <w:smallCaps/>
        </w:rPr>
        <w:t>Schürmann</w:t>
      </w:r>
      <w:r>
        <w:t xml:space="preserve">, Církev jako otevřený systém, </w:t>
      </w:r>
      <w:r>
        <w:rPr>
          <w:i/>
        </w:rPr>
        <w:t>Teologické texty</w:t>
      </w:r>
      <w:r>
        <w:t xml:space="preserve"> 2 (2006), s. 58-64.</w:t>
      </w:r>
    </w:p>
    <w:p w14:paraId="00000022" w14:textId="77777777" w:rsidR="00A243CD" w:rsidRDefault="0045261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b/>
          <w:color w:val="000000"/>
        </w:rPr>
      </w:pPr>
      <w:r>
        <w:rPr>
          <w:b/>
          <w:color w:val="000000"/>
        </w:rPr>
        <w:t xml:space="preserve">4. </w:t>
      </w:r>
      <w:r>
        <w:rPr>
          <w:b/>
        </w:rPr>
        <w:t xml:space="preserve">Tajemství </w:t>
      </w:r>
      <w:r>
        <w:rPr>
          <w:b/>
          <w:color w:val="000000"/>
        </w:rPr>
        <w:t>Kristova života</w:t>
      </w:r>
    </w:p>
    <w:p w14:paraId="00000023" w14:textId="77777777" w:rsidR="00A243CD" w:rsidRDefault="00A243C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</w:p>
    <w:p w14:paraId="00000024" w14:textId="77777777" w:rsidR="00A243CD" w:rsidRDefault="00452612">
      <w:pPr>
        <w:numPr>
          <w:ilvl w:val="0"/>
          <w:numId w:val="11"/>
        </w:numPr>
        <w:ind w:left="0" w:hanging="2"/>
        <w:jc w:val="both"/>
        <w:rPr>
          <w:rFonts w:ascii="Calibri" w:eastAsia="Calibri" w:hAnsi="Calibri" w:cs="Calibri"/>
        </w:rPr>
      </w:pPr>
      <w:r>
        <w:rPr>
          <w:smallCaps/>
        </w:rPr>
        <w:t>M. Figura</w:t>
      </w:r>
      <w:r>
        <w:t xml:space="preserve">, Ježíšův křest - zjevení trojjediného Boha, </w:t>
      </w:r>
      <w:r>
        <w:rPr>
          <w:i/>
        </w:rPr>
        <w:t>MKR Communio</w:t>
      </w:r>
      <w:r>
        <w:t xml:space="preserve"> 1 (2005), s. 19-32. </w:t>
      </w:r>
    </w:p>
    <w:p w14:paraId="00000025" w14:textId="77777777" w:rsidR="00A243CD" w:rsidRDefault="00452612">
      <w:pPr>
        <w:numPr>
          <w:ilvl w:val="0"/>
          <w:numId w:val="11"/>
        </w:numPr>
        <w:ind w:left="0" w:hanging="2"/>
        <w:jc w:val="both"/>
      </w:pPr>
      <w:r>
        <w:t xml:space="preserve">M. </w:t>
      </w:r>
      <w:r>
        <w:rPr>
          <w:smallCaps/>
        </w:rPr>
        <w:t>Figura</w:t>
      </w:r>
      <w:r>
        <w:t xml:space="preserve">, Teologický a mystický význam Ježíšova proměnění u </w:t>
      </w:r>
      <w:r>
        <w:t xml:space="preserve">církevních Otců, </w:t>
      </w:r>
      <w:r>
        <w:rPr>
          <w:i/>
        </w:rPr>
        <w:t>MKR Communio</w:t>
      </w:r>
      <w:r>
        <w:t>, 2 (2008), s. 152–162.</w:t>
      </w:r>
    </w:p>
    <w:p w14:paraId="00000026" w14:textId="77777777" w:rsidR="00A243CD" w:rsidRDefault="00452612">
      <w:pPr>
        <w:numPr>
          <w:ilvl w:val="0"/>
          <w:numId w:val="11"/>
        </w:numPr>
        <w:ind w:left="0" w:hanging="2"/>
        <w:jc w:val="both"/>
      </w:pPr>
      <w:r>
        <w:rPr>
          <w:smallCaps/>
        </w:rPr>
        <w:t>W. Kasper</w:t>
      </w:r>
      <w:r>
        <w:t xml:space="preserve">, Kristovo nanebevstoupení - historie a theologický význam, </w:t>
      </w:r>
      <w:r>
        <w:rPr>
          <w:i/>
        </w:rPr>
        <w:t xml:space="preserve">MKR Communio </w:t>
      </w:r>
      <w:r>
        <w:t>3 (1999), s. 223-232.</w:t>
      </w:r>
    </w:p>
    <w:p w14:paraId="00000027" w14:textId="77777777" w:rsidR="00A243CD" w:rsidRDefault="00452612">
      <w:pPr>
        <w:numPr>
          <w:ilvl w:val="0"/>
          <w:numId w:val="11"/>
        </w:numPr>
        <w:ind w:left="0" w:hanging="2"/>
        <w:jc w:val="both"/>
      </w:pPr>
      <w:r>
        <w:rPr>
          <w:smallCaps/>
        </w:rPr>
        <w:t>W. Maas</w:t>
      </w:r>
      <w:r>
        <w:t xml:space="preserve">, Sestoupil do pekel: Aspekty zapomenutého článku víry, </w:t>
      </w:r>
      <w:r>
        <w:rPr>
          <w:i/>
        </w:rPr>
        <w:t>MKR Communio</w:t>
      </w:r>
      <w:r>
        <w:t xml:space="preserve"> 3 (1998), s, 261-279.</w:t>
      </w:r>
    </w:p>
    <w:p w14:paraId="00000028" w14:textId="77777777" w:rsidR="00A243CD" w:rsidRDefault="00452612">
      <w:pPr>
        <w:numPr>
          <w:ilvl w:val="0"/>
          <w:numId w:val="11"/>
        </w:numPr>
        <w:ind w:left="0" w:hanging="2"/>
        <w:jc w:val="both"/>
      </w:pPr>
      <w:r>
        <w:rPr>
          <w:smallCaps/>
        </w:rPr>
        <w:t>V</w:t>
      </w:r>
      <w:r>
        <w:rPr>
          <w:smallCaps/>
        </w:rPr>
        <w:t>. Novotný</w:t>
      </w:r>
      <w:r>
        <w:t xml:space="preserve">, Nanebevstoupení (především) podle sv. Lukáše, </w:t>
      </w:r>
      <w:r>
        <w:rPr>
          <w:i/>
        </w:rPr>
        <w:t>MKR Communio</w:t>
      </w:r>
      <w:r>
        <w:t xml:space="preserve"> 3 (1999), s. 238-278.</w:t>
      </w:r>
    </w:p>
    <w:p w14:paraId="00000029" w14:textId="77777777" w:rsidR="00A243CD" w:rsidRDefault="00452612">
      <w:pPr>
        <w:numPr>
          <w:ilvl w:val="0"/>
          <w:numId w:val="11"/>
        </w:numPr>
        <w:spacing w:after="240"/>
        <w:ind w:left="0" w:hanging="2"/>
        <w:jc w:val="both"/>
      </w:pPr>
      <w:r>
        <w:t xml:space="preserve">T. </w:t>
      </w:r>
      <w:r>
        <w:rPr>
          <w:smallCaps/>
        </w:rPr>
        <w:t>Söding,</w:t>
      </w:r>
      <w:r>
        <w:t xml:space="preserve"> Učil jako ten, kdo má moc: Ježíšovy zázraky a podobenství v evangeliu Božího království, </w:t>
      </w:r>
      <w:r>
        <w:rPr>
          <w:i/>
        </w:rPr>
        <w:t>MKR Communio</w:t>
      </w:r>
      <w:r>
        <w:t>, 2 (2007), s. 139–154.</w:t>
      </w:r>
    </w:p>
    <w:p w14:paraId="0000002A" w14:textId="77777777" w:rsidR="00A243CD" w:rsidRDefault="0045261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b/>
          <w:color w:val="000000"/>
        </w:rPr>
      </w:pPr>
      <w:r>
        <w:rPr>
          <w:b/>
          <w:color w:val="000000"/>
        </w:rPr>
        <w:t>5. Ježíš Kristus jako Spasit</w:t>
      </w:r>
      <w:r>
        <w:rPr>
          <w:b/>
          <w:color w:val="000000"/>
        </w:rPr>
        <w:t>el a jeho spásonosné dílo</w:t>
      </w:r>
    </w:p>
    <w:p w14:paraId="0000002B" w14:textId="77777777" w:rsidR="00A243CD" w:rsidRDefault="00A243C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</w:p>
    <w:p w14:paraId="0000002C" w14:textId="77777777" w:rsidR="00A243CD" w:rsidRDefault="00452612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smallCaps/>
          <w:color w:val="000000"/>
        </w:rPr>
        <w:t>Mezinárodní Teologická Komise</w:t>
      </w:r>
      <w:r>
        <w:rPr>
          <w:color w:val="000000"/>
        </w:rPr>
        <w:t xml:space="preserve">, Některé otázky týkající se teologie vykoupení (1995), IV část: Systematické perspektivy, in: </w:t>
      </w:r>
      <w:r>
        <w:rPr>
          <w:i/>
          <w:color w:val="000000"/>
        </w:rPr>
        <w:t>Dokumenty Mezinárodní Teologické Komise 1969-2017 a některé další texty Papežské biblické komise a Kongregace pro nauku víry</w:t>
      </w:r>
      <w:r>
        <w:rPr>
          <w:color w:val="000000"/>
        </w:rPr>
        <w:t xml:space="preserve">, ed. C.V. Pospíšil a E. Krumpolc, Univ. Palackého, Olomouc 2017, č. 1937-2014 (s. 503-520). </w:t>
      </w:r>
    </w:p>
    <w:p w14:paraId="0000002D" w14:textId="77777777" w:rsidR="00A243CD" w:rsidRDefault="00452612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smallCaps/>
          <w:color w:val="000000"/>
        </w:rPr>
        <w:t>Mezinárodní Teologická Komise</w:t>
      </w:r>
      <w:r>
        <w:rPr>
          <w:color w:val="000000"/>
        </w:rPr>
        <w:t>, Vybrané</w:t>
      </w:r>
      <w:r>
        <w:rPr>
          <w:color w:val="000000"/>
        </w:rPr>
        <w:t xml:space="preserve"> otázky z christologie, IV: Christologie a soteriologie, in: </w:t>
      </w:r>
      <w:r>
        <w:rPr>
          <w:i/>
          <w:color w:val="000000"/>
        </w:rPr>
        <w:t>Dokumenty Mezinárodní Teologické Komise 1969-2017 a některé další texty Papežské biblické komise a Kongregace pro nauku víry</w:t>
      </w:r>
      <w:r>
        <w:rPr>
          <w:color w:val="000000"/>
        </w:rPr>
        <w:t>, ed. C.V. Pospíšil a E. Krumpolc, Univ. Palackého, Olomouc 2017, č. 66</w:t>
      </w:r>
      <w:r>
        <w:rPr>
          <w:color w:val="000000"/>
        </w:rPr>
        <w:t>7-685 (s. 168-176).</w:t>
      </w:r>
    </w:p>
    <w:p w14:paraId="0000002E" w14:textId="77777777" w:rsidR="00A243CD" w:rsidRDefault="00452612">
      <w:pPr>
        <w:numPr>
          <w:ilvl w:val="0"/>
          <w:numId w:val="14"/>
        </w:numPr>
        <w:ind w:left="0" w:hanging="2"/>
        <w:jc w:val="both"/>
      </w:pPr>
      <w:r>
        <w:t xml:space="preserve">V. </w:t>
      </w:r>
      <w:r>
        <w:rPr>
          <w:smallCaps/>
        </w:rPr>
        <w:t>Lossky</w:t>
      </w:r>
      <w:r>
        <w:t xml:space="preserve">, Vykoupení a zbožštění, </w:t>
      </w:r>
      <w:r>
        <w:rPr>
          <w:i/>
        </w:rPr>
        <w:t>Orthodox revue</w:t>
      </w:r>
      <w:r>
        <w:t xml:space="preserve"> 1 (1997), s. 43-53</w:t>
      </w:r>
      <w:r>
        <w:rPr>
          <w:smallCaps/>
        </w:rPr>
        <w:t>.</w:t>
      </w:r>
      <w:r>
        <w:t xml:space="preserve"> </w:t>
      </w:r>
    </w:p>
    <w:p w14:paraId="0000002F" w14:textId="77777777" w:rsidR="00A243CD" w:rsidRDefault="00452612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C.V. </w:t>
      </w:r>
      <w:r>
        <w:rPr>
          <w:smallCaps/>
          <w:color w:val="000000"/>
        </w:rPr>
        <w:t>Pospíšil</w:t>
      </w:r>
      <w:r>
        <w:rPr>
          <w:color w:val="000000"/>
        </w:rPr>
        <w:t xml:space="preserve">, Světla a stíny Anselmova spisu Cur Deus homo: </w:t>
      </w:r>
      <w:r>
        <w:t>S</w:t>
      </w:r>
      <w:r>
        <w:rPr>
          <w:color w:val="000000"/>
        </w:rPr>
        <w:t xml:space="preserve">tudie z dějin teologie u příležitosti devítistého výročí zveřejnění, </w:t>
      </w:r>
      <w:r>
        <w:rPr>
          <w:i/>
          <w:color w:val="000000"/>
        </w:rPr>
        <w:t>Teologický sborník</w:t>
      </w:r>
      <w:r>
        <w:rPr>
          <w:color w:val="000000"/>
        </w:rPr>
        <w:t xml:space="preserve"> 1 (1998)</w:t>
      </w:r>
      <w:r>
        <w:t>, s.</w:t>
      </w:r>
      <w:r>
        <w:rPr>
          <w:color w:val="000000"/>
        </w:rPr>
        <w:t xml:space="preserve"> 43-</w:t>
      </w:r>
      <w:r>
        <w:rPr>
          <w:color w:val="000000"/>
        </w:rPr>
        <w:t>59.</w:t>
      </w:r>
    </w:p>
    <w:p w14:paraId="00000030" w14:textId="77777777" w:rsidR="00A243CD" w:rsidRDefault="00A243C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</w:p>
    <w:p w14:paraId="00000031" w14:textId="77777777" w:rsidR="00A243CD" w:rsidRDefault="0045261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b/>
          <w:color w:val="000000"/>
        </w:rPr>
      </w:pPr>
      <w:r>
        <w:rPr>
          <w:b/>
          <w:color w:val="000000"/>
        </w:rPr>
        <w:t xml:space="preserve">6. Teologie křtu </w:t>
      </w:r>
    </w:p>
    <w:p w14:paraId="00000032" w14:textId="77777777" w:rsidR="00A243CD" w:rsidRDefault="00A243C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</w:p>
    <w:p w14:paraId="00000033" w14:textId="77777777" w:rsidR="00A243CD" w:rsidRDefault="0045261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smallCaps/>
          <w:color w:val="000000"/>
        </w:rPr>
        <w:t>P. Ambros</w:t>
      </w:r>
      <w:r>
        <w:rPr>
          <w:color w:val="000000"/>
        </w:rPr>
        <w:t xml:space="preserve">, </w:t>
      </w:r>
      <w:r>
        <w:rPr>
          <w:color w:val="000000"/>
        </w:rPr>
        <w:t>Křest, biřmování a eucharistie tvoří iniciační svátosti,</w:t>
      </w:r>
      <w:r>
        <w:rPr>
          <w:color w:val="000000"/>
        </w:rPr>
        <w:t xml:space="preserve"> in </w:t>
      </w:r>
      <w:r>
        <w:rPr>
          <w:smallCaps/>
          <w:color w:val="000000"/>
        </w:rPr>
        <w:t>Id</w:t>
      </w:r>
      <w:r>
        <w:rPr>
          <w:color w:val="000000"/>
        </w:rPr>
        <w:t xml:space="preserve">., </w:t>
      </w:r>
      <w:r>
        <w:rPr>
          <w:i/>
          <w:color w:val="000000"/>
        </w:rPr>
        <w:t xml:space="preserve">Základní služby církve v české sekulární společnosti: </w:t>
      </w:r>
      <w:r>
        <w:rPr>
          <w:i/>
        </w:rPr>
        <w:t>K</w:t>
      </w:r>
      <w:r>
        <w:rPr>
          <w:i/>
          <w:color w:val="000000"/>
        </w:rPr>
        <w:t>ērygma/martyria, leitourgia, diakonia</w:t>
      </w:r>
      <w:r>
        <w:rPr>
          <w:color w:val="000000"/>
        </w:rPr>
        <w:t>, Olomouc: Refugium, 2013, s. 125-137.</w:t>
      </w:r>
    </w:p>
    <w:p w14:paraId="00000034" w14:textId="77777777" w:rsidR="00A243CD" w:rsidRDefault="00452612">
      <w:pPr>
        <w:numPr>
          <w:ilvl w:val="0"/>
          <w:numId w:val="7"/>
        </w:numPr>
        <w:ind w:left="0" w:hanging="2"/>
        <w:jc w:val="both"/>
      </w:pPr>
      <w:r>
        <w:rPr>
          <w:smallCaps/>
        </w:rPr>
        <w:t>Druhý vatikánský koncil</w:t>
      </w:r>
      <w:r>
        <w:t xml:space="preserve">, Dekret o apoštolátu laiků </w:t>
      </w:r>
      <w:r>
        <w:rPr>
          <w:i/>
        </w:rPr>
        <w:t>Apostolicam actuositatem</w:t>
      </w:r>
      <w:r>
        <w:t>,</w:t>
      </w:r>
      <w:r>
        <w:rPr>
          <w:i/>
        </w:rPr>
        <w:t xml:space="preserve"> </w:t>
      </w:r>
      <w:r>
        <w:t xml:space="preserve">in </w:t>
      </w:r>
      <w:r>
        <w:rPr>
          <w:i/>
        </w:rPr>
        <w:t>Dokumenty II. vatikánského koncilu</w:t>
      </w:r>
      <w:r>
        <w:t>, Kostelní Vydří: Karmelitánské nakladatelství, 2002.</w:t>
      </w:r>
    </w:p>
    <w:p w14:paraId="00000035" w14:textId="77777777" w:rsidR="00A243CD" w:rsidRDefault="00452612">
      <w:pPr>
        <w:numPr>
          <w:ilvl w:val="0"/>
          <w:numId w:val="7"/>
        </w:numPr>
        <w:ind w:left="0" w:hanging="2"/>
        <w:jc w:val="both"/>
      </w:pPr>
      <w:r>
        <w:t xml:space="preserve">MTK, </w:t>
      </w:r>
      <w:r>
        <w:rPr>
          <w:i/>
        </w:rPr>
        <w:t>Naděje na spásu pro děti, které umírají nepokřtěné</w:t>
      </w:r>
      <w:r>
        <w:t>, Praha, 2008 (s. 46-60, oddíl: Spes orans).</w:t>
      </w:r>
    </w:p>
    <w:p w14:paraId="00000036" w14:textId="77777777" w:rsidR="00A243CD" w:rsidRDefault="00452612">
      <w:pPr>
        <w:numPr>
          <w:ilvl w:val="0"/>
          <w:numId w:val="7"/>
        </w:numPr>
        <w:ind w:left="0" w:hanging="2"/>
        <w:jc w:val="both"/>
      </w:pPr>
      <w:r>
        <w:t xml:space="preserve">P. </w:t>
      </w:r>
      <w:r>
        <w:rPr>
          <w:smallCaps/>
        </w:rPr>
        <w:t>Neuner</w:t>
      </w:r>
      <w:r>
        <w:t xml:space="preserve">, </w:t>
      </w:r>
      <w:r>
        <w:t xml:space="preserve">Teologie laikátu na II. vatikánském koncilu a její další rozvoj, in </w:t>
      </w:r>
      <w:r>
        <w:rPr>
          <w:smallCaps/>
        </w:rPr>
        <w:t>Id</w:t>
      </w:r>
      <w:r>
        <w:t xml:space="preserve">., </w:t>
      </w:r>
      <w:r>
        <w:rPr>
          <w:i/>
        </w:rPr>
        <w:t>Laici a klérus?: Společenství Božího lidu</w:t>
      </w:r>
      <w:r>
        <w:t>, Praha: Vyšehrad, 1997, s. 89-107.</w:t>
      </w:r>
    </w:p>
    <w:p w14:paraId="00000037" w14:textId="77777777" w:rsidR="00A243CD" w:rsidRDefault="0045261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smallCaps/>
          <w:color w:val="000000"/>
        </w:rPr>
        <w:t>J. Ratzinger</w:t>
      </w:r>
      <w:r>
        <w:rPr>
          <w:color w:val="000000"/>
        </w:rPr>
        <w:t xml:space="preserve">, Křest, víra a náležitost k církvi, </w:t>
      </w:r>
      <w:r>
        <w:rPr>
          <w:i/>
        </w:rPr>
        <w:t>MKR C</w:t>
      </w:r>
      <w:r>
        <w:rPr>
          <w:i/>
          <w:color w:val="000000"/>
        </w:rPr>
        <w:t>ommunio</w:t>
      </w:r>
      <w:r>
        <w:rPr>
          <w:color w:val="000000"/>
        </w:rPr>
        <w:t xml:space="preserve"> 2 (2004), s. 111-127.</w:t>
      </w:r>
    </w:p>
    <w:p w14:paraId="00000038" w14:textId="77777777" w:rsidR="00A243CD" w:rsidRDefault="00A243C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</w:p>
    <w:p w14:paraId="00000039" w14:textId="77777777" w:rsidR="00A243CD" w:rsidRDefault="0045261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b/>
          <w:color w:val="000000"/>
        </w:rPr>
      </w:pPr>
      <w:r>
        <w:rPr>
          <w:b/>
          <w:color w:val="000000"/>
        </w:rPr>
        <w:t xml:space="preserve">7. </w:t>
      </w:r>
      <w:r>
        <w:rPr>
          <w:b/>
        </w:rPr>
        <w:t>E</w:t>
      </w:r>
      <w:r>
        <w:rPr>
          <w:b/>
          <w:color w:val="000000"/>
        </w:rPr>
        <w:t>ucharisti</w:t>
      </w:r>
      <w:r>
        <w:rPr>
          <w:b/>
        </w:rPr>
        <w:t>e Krista</w:t>
      </w:r>
      <w:r>
        <w:rPr>
          <w:b/>
        </w:rPr>
        <w:t xml:space="preserve"> a církve</w:t>
      </w:r>
    </w:p>
    <w:p w14:paraId="0000003A" w14:textId="77777777" w:rsidR="00A243CD" w:rsidRDefault="00A243C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</w:p>
    <w:p w14:paraId="0000003B" w14:textId="77777777" w:rsidR="00A243CD" w:rsidRDefault="0045261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smallCaps/>
          <w:color w:val="000000"/>
        </w:rPr>
        <w:t>J. Dolista</w:t>
      </w:r>
      <w:r>
        <w:rPr>
          <w:color w:val="000000"/>
        </w:rPr>
        <w:t xml:space="preserve">, </w:t>
      </w:r>
      <w:r>
        <w:rPr>
          <w:color w:val="000000"/>
        </w:rPr>
        <w:t>Eucharistie v dějinách</w:t>
      </w:r>
      <w:r>
        <w:rPr>
          <w:color w:val="000000"/>
        </w:rPr>
        <w:t xml:space="preserve">, in </w:t>
      </w:r>
      <w:r>
        <w:rPr>
          <w:smallCaps/>
          <w:color w:val="000000"/>
        </w:rPr>
        <w:t>J. Hojda</w:t>
      </w:r>
      <w:r>
        <w:rPr>
          <w:color w:val="000000"/>
        </w:rPr>
        <w:t>,</w:t>
      </w:r>
      <w:r>
        <w:rPr>
          <w:i/>
          <w:color w:val="000000"/>
        </w:rPr>
        <w:t xml:space="preserve"> Eucharistie: </w:t>
      </w:r>
      <w:r>
        <w:rPr>
          <w:i/>
        </w:rPr>
        <w:t>M</w:t>
      </w:r>
      <w:r>
        <w:rPr>
          <w:i/>
          <w:color w:val="000000"/>
        </w:rPr>
        <w:t>ysterium fidei</w:t>
      </w:r>
      <w:r>
        <w:rPr>
          <w:color w:val="000000"/>
        </w:rPr>
        <w:t>, Svitavy: Trinitas 2002, s. 78-104.</w:t>
      </w:r>
    </w:p>
    <w:p w14:paraId="0000003C" w14:textId="77777777" w:rsidR="00A243CD" w:rsidRDefault="00452612">
      <w:pPr>
        <w:numPr>
          <w:ilvl w:val="0"/>
          <w:numId w:val="4"/>
        </w:numPr>
        <w:ind w:left="0" w:hanging="2"/>
        <w:jc w:val="both"/>
      </w:pPr>
      <w:r>
        <w:rPr>
          <w:smallCaps/>
        </w:rPr>
        <w:t>P. Brož</w:t>
      </w:r>
      <w:r>
        <w:t xml:space="preserve">, Církev působí eucharistii, eucharistie působí církev, </w:t>
      </w:r>
      <w:r>
        <w:rPr>
          <w:i/>
        </w:rPr>
        <w:t>MKR Communio</w:t>
      </w:r>
      <w:r>
        <w:t xml:space="preserve"> 2 (2006), s. 180-196.</w:t>
      </w:r>
    </w:p>
    <w:p w14:paraId="0000003D" w14:textId="77777777" w:rsidR="00A243CD" w:rsidRDefault="00452612">
      <w:pPr>
        <w:numPr>
          <w:ilvl w:val="0"/>
          <w:numId w:val="4"/>
        </w:numPr>
        <w:ind w:left="0" w:hanging="2"/>
        <w:jc w:val="both"/>
      </w:pPr>
      <w:r>
        <w:rPr>
          <w:smallCaps/>
        </w:rPr>
        <w:t>R. Machan</w:t>
      </w:r>
      <w:r>
        <w:t xml:space="preserve">, Eucharistie a církev, in </w:t>
      </w:r>
      <w:r>
        <w:rPr>
          <w:smallCaps/>
        </w:rPr>
        <w:t>J. Hojda</w:t>
      </w:r>
      <w:r>
        <w:t>,</w:t>
      </w:r>
      <w:r>
        <w:rPr>
          <w:i/>
        </w:rPr>
        <w:t xml:space="preserve"> Eucharistie: Mysterium fidei</w:t>
      </w:r>
      <w:r>
        <w:t>, Svitavy: Trinitas 2002, s. 64-77.</w:t>
      </w:r>
    </w:p>
    <w:p w14:paraId="0000003E" w14:textId="77777777" w:rsidR="00A243CD" w:rsidRDefault="0045261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J. </w:t>
      </w:r>
      <w:r>
        <w:rPr>
          <w:smallCaps/>
          <w:color w:val="000000"/>
        </w:rPr>
        <w:t>Ratzinger</w:t>
      </w:r>
      <w:r>
        <w:rPr>
          <w:color w:val="000000"/>
        </w:rPr>
        <w:t xml:space="preserve">, Slavení eucharistie: podoba a obsah, </w:t>
      </w:r>
      <w:r>
        <w:rPr>
          <w:i/>
        </w:rPr>
        <w:t>MKR C</w:t>
      </w:r>
      <w:r>
        <w:rPr>
          <w:i/>
          <w:color w:val="000000"/>
        </w:rPr>
        <w:t xml:space="preserve">ommunio </w:t>
      </w:r>
      <w:r>
        <w:rPr>
          <w:color w:val="000000"/>
        </w:rPr>
        <w:t>2 (2006), s. 149-160.</w:t>
      </w:r>
    </w:p>
    <w:p w14:paraId="0000003F" w14:textId="77777777" w:rsidR="00A243CD" w:rsidRDefault="00452612">
      <w:pPr>
        <w:spacing w:before="240" w:after="240"/>
        <w:ind w:left="0" w:hanging="2"/>
        <w:jc w:val="both"/>
        <w:rPr>
          <w:b/>
        </w:rPr>
      </w:pPr>
      <w:r>
        <w:rPr>
          <w:b/>
        </w:rPr>
        <w:t>8. Pojetí církve v učení 2. vatikánského koncilu</w:t>
      </w:r>
    </w:p>
    <w:p w14:paraId="00000040" w14:textId="77777777" w:rsidR="00A243CD" w:rsidRDefault="00452612">
      <w:pPr>
        <w:numPr>
          <w:ilvl w:val="0"/>
          <w:numId w:val="10"/>
        </w:numPr>
        <w:ind w:left="0" w:hanging="2"/>
        <w:jc w:val="both"/>
      </w:pPr>
      <w:r>
        <w:t xml:space="preserve">Y. </w:t>
      </w:r>
      <w:r>
        <w:rPr>
          <w:smallCaps/>
        </w:rPr>
        <w:t>Congar</w:t>
      </w:r>
      <w:r>
        <w:t>, Kristolog</w:t>
      </w:r>
      <w:r>
        <w:t xml:space="preserve">ické a pneumatologické implikace ekleziologie II. vatikánského koncilu, </w:t>
      </w:r>
      <w:r>
        <w:rPr>
          <w:i/>
        </w:rPr>
        <w:t>Salve</w:t>
      </w:r>
      <w:r>
        <w:t xml:space="preserve"> 3 (1998), s. 2–11.</w:t>
      </w:r>
    </w:p>
    <w:p w14:paraId="00000041" w14:textId="77777777" w:rsidR="00A243CD" w:rsidRDefault="00452612">
      <w:pPr>
        <w:numPr>
          <w:ilvl w:val="0"/>
          <w:numId w:val="10"/>
        </w:numPr>
        <w:ind w:left="0" w:hanging="2"/>
        <w:jc w:val="both"/>
      </w:pPr>
      <w:r>
        <w:t xml:space="preserve">W. </w:t>
      </w:r>
      <w:r>
        <w:rPr>
          <w:smallCaps/>
        </w:rPr>
        <w:t>Kasper</w:t>
      </w:r>
      <w:r>
        <w:t xml:space="preserve">, Církev jako společenství: Úvahy o hlavní ideji učení o církvi Druhého vatikánského koncilu, in </w:t>
      </w:r>
      <w:r>
        <w:rPr>
          <w:smallCaps/>
        </w:rPr>
        <w:t>Id.</w:t>
      </w:r>
      <w:r>
        <w:t xml:space="preserve">,  </w:t>
      </w:r>
      <w:r>
        <w:rPr>
          <w:i/>
        </w:rPr>
        <w:t>Theologie – součást naší doby</w:t>
      </w:r>
      <w:r>
        <w:t>, Praha: Česká kře</w:t>
      </w:r>
      <w:r>
        <w:t>sťanská akademie, 1994, s. 61–79.</w:t>
      </w:r>
    </w:p>
    <w:p w14:paraId="00000042" w14:textId="77777777" w:rsidR="00A243CD" w:rsidRDefault="00452612">
      <w:pPr>
        <w:numPr>
          <w:ilvl w:val="0"/>
          <w:numId w:val="10"/>
        </w:numPr>
        <w:ind w:left="0" w:hanging="2"/>
        <w:jc w:val="both"/>
      </w:pPr>
      <w:r>
        <w:lastRenderedPageBreak/>
        <w:t xml:space="preserve">H. </w:t>
      </w:r>
      <w:r>
        <w:rPr>
          <w:smallCaps/>
        </w:rPr>
        <w:t>de Lubac</w:t>
      </w:r>
      <w:r>
        <w:t xml:space="preserve">, V jakém smyslu je církev tajemstvím?, </w:t>
      </w:r>
      <w:r>
        <w:rPr>
          <w:i/>
        </w:rPr>
        <w:t>MKR Communio</w:t>
      </w:r>
      <w:r>
        <w:t xml:space="preserve"> 3–4 (2000), s. 293–310.</w:t>
      </w:r>
    </w:p>
    <w:p w14:paraId="00000043" w14:textId="77777777" w:rsidR="00A243CD" w:rsidRDefault="00452612">
      <w:pPr>
        <w:numPr>
          <w:ilvl w:val="0"/>
          <w:numId w:val="10"/>
        </w:numPr>
        <w:ind w:left="0" w:hanging="2"/>
        <w:jc w:val="both"/>
      </w:pPr>
      <w:r>
        <w:t xml:space="preserve">J. </w:t>
      </w:r>
      <w:r>
        <w:rPr>
          <w:smallCaps/>
        </w:rPr>
        <w:t>Ratzinger</w:t>
      </w:r>
      <w:r>
        <w:t xml:space="preserve">, Univerzální a partikulární církev, poslání biskupa, in </w:t>
      </w:r>
      <w:r>
        <w:rPr>
          <w:smallCaps/>
        </w:rPr>
        <w:t>Id.</w:t>
      </w:r>
      <w:r>
        <w:t xml:space="preserve">, </w:t>
      </w:r>
      <w:r>
        <w:rPr>
          <w:i/>
        </w:rPr>
        <w:t>Církev jako společenství</w:t>
      </w:r>
      <w:r>
        <w:t>, Praha: Zvon 1995, s. 50–69.</w:t>
      </w:r>
    </w:p>
    <w:p w14:paraId="00000044" w14:textId="77777777" w:rsidR="00A243CD" w:rsidRDefault="00452612">
      <w:pPr>
        <w:numPr>
          <w:ilvl w:val="0"/>
          <w:numId w:val="10"/>
        </w:numPr>
        <w:spacing w:after="240"/>
        <w:ind w:left="0" w:hanging="2"/>
        <w:jc w:val="both"/>
      </w:pPr>
      <w:r>
        <w:t xml:space="preserve">Ch. </w:t>
      </w:r>
      <w:r>
        <w:rPr>
          <w:smallCaps/>
        </w:rPr>
        <w:t>Schönborn</w:t>
      </w:r>
      <w:r>
        <w:t xml:space="preserve">, Království Boží a Církev v nebi a na zemi, in </w:t>
      </w:r>
      <w:r>
        <w:rPr>
          <w:smallCaps/>
        </w:rPr>
        <w:t>Id.</w:t>
      </w:r>
      <w:r>
        <w:t xml:space="preserve">, </w:t>
      </w:r>
      <w:r>
        <w:rPr>
          <w:i/>
        </w:rPr>
        <w:t>Cestou proměnění: Putování, reinkarnace, zbožštění</w:t>
      </w:r>
      <w:r>
        <w:t>, Brno: CDK, 1998, s. 35–53.</w:t>
      </w:r>
    </w:p>
    <w:p w14:paraId="00000045" w14:textId="77777777" w:rsidR="00A243CD" w:rsidRDefault="00A243C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00000046" w14:textId="77777777" w:rsidR="00A243CD" w:rsidRDefault="0045261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</w:pPr>
      <w:r>
        <w:rPr>
          <w:b/>
          <w:color w:val="000000"/>
          <w:sz w:val="32"/>
          <w:szCs w:val="32"/>
        </w:rPr>
        <w:t>Morální teologie</w:t>
      </w:r>
    </w:p>
    <w:p w14:paraId="00000047" w14:textId="77777777" w:rsidR="00A243CD" w:rsidRDefault="00452612">
      <w:pPr>
        <w:spacing w:before="240" w:after="240"/>
        <w:ind w:left="0" w:hanging="2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Průběh zkoušky</w:t>
      </w:r>
    </w:p>
    <w:p w14:paraId="00000048" w14:textId="77777777" w:rsidR="00A243CD" w:rsidRDefault="00452612">
      <w:pPr>
        <w:spacing w:before="240" w:after="240"/>
        <w:ind w:left="0" w:hanging="2"/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I. Prezentace tématu</w:t>
      </w:r>
      <w:r>
        <w:rPr>
          <w:sz w:val="22"/>
          <w:szCs w:val="22"/>
        </w:rPr>
        <w:t>: student představí nejdůležitější tematické okruhy zvolené otázky. Učiní tak uceleně a v hlavních liniích, aniž by zabíhal do detailů. Hodnotí se vhled do problematiky a schopnost syntézy. Student vychází z poznatků a bibliografie získaných během dosavadn</w:t>
      </w:r>
      <w:r>
        <w:rPr>
          <w:sz w:val="22"/>
          <w:szCs w:val="22"/>
        </w:rPr>
        <w:t>ího studia a během přípravy na SZZ. V této části zkoušky se nevěnuje pozornost zvolenému textu, o kterém se bude hovořit až následně! Čas: 5 min.</w:t>
      </w:r>
    </w:p>
    <w:p w14:paraId="00000049" w14:textId="77777777" w:rsidR="00A243CD" w:rsidRDefault="00452612">
      <w:pPr>
        <w:spacing w:before="240" w:after="240"/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>Pro získání hodnocení A se vyžaduje: Student přehledně a samostatně představí nejdůležitější body nauky.</w:t>
      </w:r>
    </w:p>
    <w:p w14:paraId="0000004A" w14:textId="77777777" w:rsidR="00A243CD" w:rsidRDefault="00452612">
      <w:pPr>
        <w:spacing w:before="240" w:after="240"/>
        <w:ind w:left="0" w:hanging="2"/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II. P</w:t>
      </w:r>
      <w:r>
        <w:rPr>
          <w:sz w:val="22"/>
          <w:szCs w:val="22"/>
          <w:u w:val="single"/>
        </w:rPr>
        <w:t>ráce se zvoleným textem</w:t>
      </w:r>
      <w:r>
        <w:rPr>
          <w:sz w:val="22"/>
          <w:szCs w:val="22"/>
        </w:rPr>
        <w:t>: Student si u každého tématu vybere jeden z textů, kterému se věnoval během přípravy na SZZ. Jeho úkolem bude: 1)  Představit zvolený text (hlavní teze, metoda, argumentace autora textu) ; 2) Vést nad textem dialog se zkoušejícím. H</w:t>
      </w:r>
      <w:r>
        <w:rPr>
          <w:sz w:val="22"/>
          <w:szCs w:val="22"/>
        </w:rPr>
        <w:t>odnotí se schopnost správně interpretovat autora, zaujmout k textu vlastní postoj a srozumitelně a věcně jej prezentovat. Čas: 15 min.</w:t>
      </w:r>
    </w:p>
    <w:p w14:paraId="0000004B" w14:textId="77777777" w:rsidR="00A243CD" w:rsidRDefault="00452612">
      <w:pPr>
        <w:spacing w:before="240" w:after="240"/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>Pro získání hodnocení A se vyžaduje: Student představí autorovu argumentaci i metodu výstižně a samostatně. Na otázky nad</w:t>
      </w:r>
      <w:r>
        <w:rPr>
          <w:sz w:val="22"/>
          <w:szCs w:val="22"/>
        </w:rPr>
        <w:t xml:space="preserve"> textem odpovídá věcně a správně, formuluje vlastní teologický názor a umí jej náležitě odůvodnit. Používá jasnou terminologii.</w:t>
      </w:r>
    </w:p>
    <w:p w14:paraId="0000004C" w14:textId="77777777" w:rsidR="00A243CD" w:rsidRDefault="00452612">
      <w:pPr>
        <w:spacing w:before="240" w:after="240"/>
        <w:ind w:left="0" w:hanging="2"/>
        <w:jc w:val="both"/>
        <w:rPr>
          <w:sz w:val="22"/>
          <w:szCs w:val="22"/>
        </w:rPr>
      </w:pPr>
      <w:r>
        <w:rPr>
          <w:b/>
          <w:sz w:val="22"/>
          <w:szCs w:val="22"/>
        </w:rPr>
        <w:t>Seznam témat</w:t>
      </w:r>
    </w:p>
    <w:p w14:paraId="0000004D" w14:textId="77777777" w:rsidR="00A243CD" w:rsidRDefault="0045261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b/>
          <w:color w:val="000000"/>
        </w:rPr>
      </w:pPr>
      <w:r>
        <w:rPr>
          <w:b/>
          <w:color w:val="000000"/>
        </w:rPr>
        <w:t>1. Svědomí</w:t>
      </w:r>
    </w:p>
    <w:p w14:paraId="0000004E" w14:textId="77777777" w:rsidR="00A243CD" w:rsidRDefault="00A243C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</w:p>
    <w:p w14:paraId="0000004F" w14:textId="77777777" w:rsidR="00A243CD" w:rsidRDefault="00452612">
      <w:pPr>
        <w:numPr>
          <w:ilvl w:val="0"/>
          <w:numId w:val="2"/>
        </w:numPr>
        <w:ind w:left="0" w:hanging="2"/>
        <w:jc w:val="both"/>
      </w:pPr>
      <w:r>
        <w:t xml:space="preserve">Hermann </w:t>
      </w:r>
      <w:r>
        <w:rPr>
          <w:smallCaps/>
        </w:rPr>
        <w:t>Geissler</w:t>
      </w:r>
      <w:r>
        <w:t xml:space="preserve">, Prvotní náměstek Krista: Pohled na Newmanovo učení o svědomí, </w:t>
      </w:r>
      <w:r>
        <w:rPr>
          <w:i/>
        </w:rPr>
        <w:t>MKR Communio</w:t>
      </w:r>
      <w:r>
        <w:t xml:space="preserve"> 21, č. 4 (</w:t>
      </w:r>
      <w:r>
        <w:t>2017): 34–50.</w:t>
      </w:r>
    </w:p>
    <w:p w14:paraId="00000050" w14:textId="77777777" w:rsidR="00A243CD" w:rsidRDefault="00452612">
      <w:pPr>
        <w:numPr>
          <w:ilvl w:val="0"/>
          <w:numId w:val="2"/>
        </w:numPr>
        <w:ind w:left="0" w:hanging="2"/>
        <w:jc w:val="both"/>
      </w:pPr>
      <w:r>
        <w:t xml:space="preserve">Dom Samuel </w:t>
      </w:r>
      <w:r>
        <w:rPr>
          <w:smallCaps/>
        </w:rPr>
        <w:t>Lauras</w:t>
      </w:r>
      <w:r>
        <w:t xml:space="preserve">, Povolání a výchova svědomí v křesťanském společenství, </w:t>
      </w:r>
      <w:r>
        <w:rPr>
          <w:i/>
        </w:rPr>
        <w:t>MKR Communio</w:t>
      </w:r>
      <w:r>
        <w:t xml:space="preserve"> 21, č. 4 (2017): 78–102.</w:t>
      </w:r>
    </w:p>
    <w:p w14:paraId="00000051" w14:textId="77777777" w:rsidR="00A243CD" w:rsidRDefault="00452612">
      <w:pPr>
        <w:numPr>
          <w:ilvl w:val="0"/>
          <w:numId w:val="2"/>
        </w:numPr>
        <w:ind w:left="0" w:hanging="2"/>
        <w:jc w:val="both"/>
      </w:pPr>
      <w:r>
        <w:t xml:space="preserve">Joseph </w:t>
      </w:r>
      <w:r>
        <w:rPr>
          <w:smallCaps/>
        </w:rPr>
        <w:t>Ratzinger</w:t>
      </w:r>
      <w:r>
        <w:t xml:space="preserve">, Chceš-li mír, respektuje svědomí každého člověka, in </w:t>
      </w:r>
      <w:r>
        <w:rPr>
          <w:i/>
        </w:rPr>
        <w:t>Pravda, hodnoty a moc: Prubířské kameny pluralistické spole</w:t>
      </w:r>
      <w:r>
        <w:rPr>
          <w:i/>
        </w:rPr>
        <w:t>čnosti</w:t>
      </w:r>
      <w:r>
        <w:t xml:space="preserve">, </w:t>
      </w:r>
      <w:r>
        <w:rPr>
          <w:color w:val="212529"/>
          <w:highlight w:val="white"/>
        </w:rPr>
        <w:t>Brno: Centrum pro studium demokracie a kultury, 1996, s. 17–40.</w:t>
      </w:r>
    </w:p>
    <w:p w14:paraId="00000052" w14:textId="77777777" w:rsidR="00A243CD" w:rsidRDefault="00A243C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00000053" w14:textId="77777777" w:rsidR="00A243CD" w:rsidRDefault="0045261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b/>
          <w:color w:val="000000"/>
        </w:rPr>
      </w:pPr>
      <w:r>
        <w:rPr>
          <w:b/>
          <w:color w:val="000000"/>
        </w:rPr>
        <w:t>2. Vina a odpuštění</w:t>
      </w:r>
    </w:p>
    <w:p w14:paraId="00000054" w14:textId="77777777" w:rsidR="00A243CD" w:rsidRDefault="00A243C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</w:p>
    <w:p w14:paraId="00000055" w14:textId="77777777" w:rsidR="00A243CD" w:rsidRDefault="00452612">
      <w:pPr>
        <w:numPr>
          <w:ilvl w:val="0"/>
          <w:numId w:val="3"/>
        </w:numPr>
        <w:ind w:left="0" w:hanging="2"/>
        <w:jc w:val="both"/>
      </w:pPr>
      <w:r>
        <w:t xml:space="preserve">Walter </w:t>
      </w:r>
      <w:r>
        <w:rPr>
          <w:smallCaps/>
        </w:rPr>
        <w:t>Kasper</w:t>
      </w:r>
      <w:r>
        <w:t xml:space="preserve">, Církev - místo odpuštění hříchů, </w:t>
      </w:r>
      <w:r>
        <w:rPr>
          <w:i/>
        </w:rPr>
        <w:t>Communio: Mezinárodní katolická revue</w:t>
      </w:r>
      <w:r>
        <w:t xml:space="preserve"> 5, č. 2 (2001): 159-167.</w:t>
      </w:r>
    </w:p>
    <w:p w14:paraId="00000056" w14:textId="77777777" w:rsidR="00A243CD" w:rsidRDefault="00452612">
      <w:pPr>
        <w:numPr>
          <w:ilvl w:val="0"/>
          <w:numId w:val="3"/>
        </w:numPr>
        <w:ind w:left="0" w:hanging="2"/>
        <w:jc w:val="both"/>
      </w:pPr>
      <w:r>
        <w:t xml:space="preserve">Hans Urs </w:t>
      </w:r>
      <w:r>
        <w:rPr>
          <w:smallCaps/>
        </w:rPr>
        <w:t>von Balthasar</w:t>
      </w:r>
      <w:r>
        <w:t xml:space="preserve">, Ježíš a odpuštění, </w:t>
      </w:r>
      <w:r>
        <w:rPr>
          <w:i/>
        </w:rPr>
        <w:t>Communio: Mezinárodní katolická revue</w:t>
      </w:r>
      <w:r>
        <w:t xml:space="preserve"> 5, č. 2 (2001): 133-144.</w:t>
      </w:r>
    </w:p>
    <w:p w14:paraId="00000057" w14:textId="77777777" w:rsidR="00A243CD" w:rsidRDefault="00452612">
      <w:pPr>
        <w:numPr>
          <w:ilvl w:val="0"/>
          <w:numId w:val="3"/>
        </w:numPr>
        <w:ind w:left="0" w:hanging="2"/>
        <w:jc w:val="both"/>
      </w:pPr>
      <w:r>
        <w:t xml:space="preserve">Vít </w:t>
      </w:r>
      <w:r>
        <w:rPr>
          <w:smallCaps/>
        </w:rPr>
        <w:t>Hušek</w:t>
      </w:r>
      <w:r>
        <w:t xml:space="preserve">, Inpossibile est non peccare Kategorie hříchů u Ambrosiastera, </w:t>
      </w:r>
      <w:r>
        <w:rPr>
          <w:i/>
        </w:rPr>
        <w:t>Studia theologica</w:t>
      </w:r>
      <w:r>
        <w:t xml:space="preserve"> 16, č. 2 (2014): 119–129.</w:t>
      </w:r>
    </w:p>
    <w:p w14:paraId="00000058" w14:textId="77777777" w:rsidR="00A243CD" w:rsidRDefault="00A243C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00000059" w14:textId="77777777" w:rsidR="00A243CD" w:rsidRDefault="0045261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b/>
          <w:color w:val="000000"/>
        </w:rPr>
      </w:pPr>
      <w:r>
        <w:rPr>
          <w:b/>
          <w:color w:val="000000"/>
        </w:rPr>
        <w:t xml:space="preserve">3. Ctnosti </w:t>
      </w:r>
    </w:p>
    <w:p w14:paraId="0000005A" w14:textId="77777777" w:rsidR="00A243CD" w:rsidRDefault="00A243C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</w:p>
    <w:p w14:paraId="0000005B" w14:textId="77777777" w:rsidR="00A243CD" w:rsidRDefault="0045261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James F. </w:t>
      </w:r>
      <w:r>
        <w:rPr>
          <w:smallCaps/>
          <w:color w:val="000000"/>
        </w:rPr>
        <w:t>Keenan</w:t>
      </w:r>
      <w:r>
        <w:rPr>
          <w:i/>
          <w:color w:val="000000"/>
        </w:rPr>
        <w:t xml:space="preserve">, </w:t>
      </w:r>
      <w:r>
        <w:rPr>
          <w:color w:val="000000"/>
        </w:rPr>
        <w:t>Virtue Ethics and Sexual Ethics</w:t>
      </w:r>
      <w:r>
        <w:t>,</w:t>
      </w:r>
      <w:r>
        <w:rPr>
          <w:i/>
          <w:color w:val="000000"/>
        </w:rPr>
        <w:t xml:space="preserve"> </w:t>
      </w:r>
      <w:r>
        <w:rPr>
          <w:color w:val="000000"/>
        </w:rPr>
        <w:t>in</w:t>
      </w:r>
      <w:r>
        <w:rPr>
          <w:i/>
          <w:color w:val="000000"/>
        </w:rPr>
        <w:t xml:space="preserve"> Virtue, </w:t>
      </w:r>
      <w:r>
        <w:rPr>
          <w:color w:val="000000"/>
        </w:rPr>
        <w:t>e</w:t>
      </w:r>
      <w:r>
        <w:rPr>
          <w:color w:val="000000"/>
        </w:rPr>
        <w:t xml:space="preserve">d. Charles E. Curran a Lisa A Fullam, New York: Paulist Press, 2011 (český překlad </w:t>
      </w:r>
      <w:r>
        <w:t>zde: https://1url.cz/g1wbp</w:t>
      </w:r>
      <w:r>
        <w:rPr>
          <w:color w:val="000000"/>
        </w:rPr>
        <w:t>).</w:t>
      </w:r>
    </w:p>
    <w:p w14:paraId="0000005C" w14:textId="77777777" w:rsidR="00A243CD" w:rsidRDefault="0045261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  <w:r>
        <w:rPr>
          <w:color w:val="000000"/>
        </w:rPr>
        <w:t xml:space="preserve">Günter </w:t>
      </w:r>
      <w:r>
        <w:rPr>
          <w:smallCaps/>
        </w:rPr>
        <w:t>Virt</w:t>
      </w:r>
      <w:r>
        <w:rPr>
          <w:color w:val="000000"/>
        </w:rPr>
        <w:t xml:space="preserve">, Pokora - nemoderní ctnost? </w:t>
      </w:r>
      <w:r>
        <w:rPr>
          <w:i/>
          <w:color w:val="000000"/>
        </w:rPr>
        <w:t>Teologické texty</w:t>
      </w:r>
      <w:r>
        <w:rPr>
          <w:color w:val="000000"/>
        </w:rPr>
        <w:t xml:space="preserve"> 11, č. 2 (2000): s. 50-56.</w:t>
      </w:r>
    </w:p>
    <w:p w14:paraId="0000005D" w14:textId="77777777" w:rsidR="00A243CD" w:rsidRDefault="0045261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  <w:r>
        <w:t xml:space="preserve">Roman </w:t>
      </w:r>
      <w:r>
        <w:rPr>
          <w:smallCaps/>
        </w:rPr>
        <w:t>Hloch</w:t>
      </w:r>
      <w:r>
        <w:t xml:space="preserve">, Problém statečnosti v Aristotelově nauce o středu, </w:t>
      </w:r>
      <w:r>
        <w:rPr>
          <w:i/>
        </w:rPr>
        <w:t xml:space="preserve">Pro-Fil </w:t>
      </w:r>
      <w:r>
        <w:t>20, č. 1 (2019): 16–26.</w:t>
      </w:r>
    </w:p>
    <w:p w14:paraId="0000005E" w14:textId="77777777" w:rsidR="00A243CD" w:rsidRDefault="00A243C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i/>
          <w:color w:val="000000"/>
        </w:rPr>
      </w:pPr>
    </w:p>
    <w:p w14:paraId="0000005F" w14:textId="77777777" w:rsidR="00A243CD" w:rsidRDefault="0045261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b/>
          <w:color w:val="000000"/>
        </w:rPr>
      </w:pPr>
      <w:r>
        <w:rPr>
          <w:b/>
          <w:color w:val="000000"/>
        </w:rPr>
        <w:t>4. Etické otázky spojené se začátkem lidského života</w:t>
      </w:r>
    </w:p>
    <w:p w14:paraId="00000060" w14:textId="77777777" w:rsidR="00A243CD" w:rsidRDefault="00A243C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</w:p>
    <w:p w14:paraId="00000061" w14:textId="77777777" w:rsidR="00A243CD" w:rsidRDefault="0045261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Giorgio </w:t>
      </w:r>
      <w:r>
        <w:rPr>
          <w:smallCaps/>
          <w:color w:val="000000"/>
        </w:rPr>
        <w:t>Carbone</w:t>
      </w:r>
      <w:r>
        <w:rPr>
          <w:color w:val="000000"/>
        </w:rPr>
        <w:t xml:space="preserve">, Je lidské embryo individuem?, in David Černý </w:t>
      </w:r>
      <w:r>
        <w:rPr>
          <w:i/>
          <w:color w:val="000000"/>
        </w:rPr>
        <w:t xml:space="preserve">a </w:t>
      </w:r>
      <w:r>
        <w:rPr>
          <w:smallCaps/>
          <w:color w:val="000000"/>
        </w:rPr>
        <w:t xml:space="preserve">kol., </w:t>
      </w:r>
      <w:r>
        <w:rPr>
          <w:i/>
          <w:color w:val="000000"/>
        </w:rPr>
        <w:t>Lidské embryo v perspektivě bioetiky</w:t>
      </w:r>
      <w:r>
        <w:rPr>
          <w:color w:val="000000"/>
        </w:rPr>
        <w:t>, Praha: Wolters Kluwer – Cevro Institut, 2011, s. 27-38.</w:t>
      </w:r>
    </w:p>
    <w:p w14:paraId="00000062" w14:textId="77777777" w:rsidR="00A243CD" w:rsidRDefault="0045261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Helena </w:t>
      </w:r>
      <w:r>
        <w:rPr>
          <w:smallCaps/>
          <w:color w:val="000000"/>
        </w:rPr>
        <w:t xml:space="preserve">Fulková, </w:t>
      </w:r>
      <w:r>
        <w:rPr>
          <w:color w:val="000000"/>
        </w:rPr>
        <w:t xml:space="preserve"> Přenos jader u lidí – otázka zní: kdy a kde?, in Radek Ptáček – Petr Bartůněk (eds.),</w:t>
      </w:r>
      <w:r>
        <w:rPr>
          <w:i/>
          <w:color w:val="000000"/>
        </w:rPr>
        <w:t xml:space="preserve"> Kontroverze současné medicíny</w:t>
      </w:r>
      <w:r>
        <w:rPr>
          <w:color w:val="000000"/>
        </w:rPr>
        <w:t>, = Edice celoživotního vzdělávání ČLK, Praha: Mladá fronta, 2016,</w:t>
      </w:r>
      <w:r>
        <w:rPr>
          <w:color w:val="000000"/>
        </w:rPr>
        <w:t xml:space="preserve"> s. 275-280.</w:t>
      </w:r>
    </w:p>
    <w:p w14:paraId="00000063" w14:textId="77777777" w:rsidR="00A243CD" w:rsidRDefault="0045261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David </w:t>
      </w:r>
      <w:r>
        <w:rPr>
          <w:smallCaps/>
          <w:color w:val="000000"/>
        </w:rPr>
        <w:t>Rumpík</w:t>
      </w:r>
      <w:r>
        <w:rPr>
          <w:color w:val="000000"/>
        </w:rPr>
        <w:t xml:space="preserve"> </w:t>
      </w:r>
      <w:r>
        <w:rPr>
          <w:i/>
          <w:color w:val="000000"/>
        </w:rPr>
        <w:t xml:space="preserve">a </w:t>
      </w:r>
      <w:r>
        <w:rPr>
          <w:smallCaps/>
          <w:color w:val="000000"/>
        </w:rPr>
        <w:t xml:space="preserve">kol., </w:t>
      </w:r>
      <w:r>
        <w:rPr>
          <w:color w:val="000000"/>
        </w:rPr>
        <w:t>Surrogátní mateřství v České republice – naše praktické zkušenosti, in Radek Ptáček – Petr Bartůněk (eds.),</w:t>
      </w:r>
      <w:r>
        <w:rPr>
          <w:i/>
          <w:color w:val="000000"/>
        </w:rPr>
        <w:t xml:space="preserve"> Kontroverze současné medicíny</w:t>
      </w:r>
      <w:r>
        <w:rPr>
          <w:color w:val="000000"/>
        </w:rPr>
        <w:t>, = Edice celoživotního vzdělávání ČLK, Praha: Mladá fronta, 2016, s. 89-94.</w:t>
      </w:r>
    </w:p>
    <w:p w14:paraId="00000064" w14:textId="77777777" w:rsidR="00A243CD" w:rsidRDefault="0045261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Marek</w:t>
      </w:r>
      <w:r>
        <w:rPr>
          <w:smallCaps/>
          <w:color w:val="000000"/>
        </w:rPr>
        <w:t xml:space="preserve"> Vá</w:t>
      </w:r>
      <w:r>
        <w:rPr>
          <w:smallCaps/>
          <w:color w:val="000000"/>
        </w:rPr>
        <w:t>cha</w:t>
      </w:r>
      <w:r>
        <w:rPr>
          <w:color w:val="000000"/>
        </w:rPr>
        <w:t xml:space="preserve">, Embryonální kmenové buňky, in Marek </w:t>
      </w:r>
      <w:r>
        <w:rPr>
          <w:smallCaps/>
          <w:color w:val="000000"/>
        </w:rPr>
        <w:t xml:space="preserve">Vácha </w:t>
      </w:r>
      <w:r>
        <w:rPr>
          <w:color w:val="000000"/>
        </w:rPr>
        <w:t xml:space="preserve">– Radana </w:t>
      </w:r>
      <w:r>
        <w:rPr>
          <w:smallCaps/>
          <w:color w:val="000000"/>
        </w:rPr>
        <w:t xml:space="preserve">Königová </w:t>
      </w:r>
      <w:r>
        <w:rPr>
          <w:color w:val="000000"/>
        </w:rPr>
        <w:t xml:space="preserve">– Miloš </w:t>
      </w:r>
      <w:r>
        <w:rPr>
          <w:smallCaps/>
          <w:color w:val="000000"/>
        </w:rPr>
        <w:t>Mauer</w:t>
      </w:r>
      <w:r>
        <w:rPr>
          <w:color w:val="000000"/>
        </w:rPr>
        <w:t xml:space="preserve">, </w:t>
      </w:r>
      <w:r>
        <w:rPr>
          <w:i/>
          <w:color w:val="000000"/>
        </w:rPr>
        <w:t>Základy moderní lékařské etiky</w:t>
      </w:r>
      <w:r>
        <w:rPr>
          <w:color w:val="000000"/>
        </w:rPr>
        <w:t>, Praha: Portál, 2012, s. 209-222.</w:t>
      </w:r>
    </w:p>
    <w:p w14:paraId="00000065" w14:textId="77777777" w:rsidR="00A243CD" w:rsidRDefault="0045261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b/>
          <w:color w:val="000000"/>
        </w:rPr>
      </w:pPr>
      <w:r>
        <w:rPr>
          <w:b/>
          <w:color w:val="000000"/>
        </w:rPr>
        <w:t xml:space="preserve">5. Etické otázky spojené s koncem lidského života </w:t>
      </w:r>
    </w:p>
    <w:p w14:paraId="00000066" w14:textId="77777777" w:rsidR="00A243CD" w:rsidRDefault="00A243C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</w:p>
    <w:p w14:paraId="00000067" w14:textId="77777777" w:rsidR="00A243CD" w:rsidRDefault="0045261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David </w:t>
      </w:r>
      <w:r>
        <w:rPr>
          <w:smallCaps/>
          <w:color w:val="000000"/>
        </w:rPr>
        <w:t xml:space="preserve">Černý – </w:t>
      </w:r>
      <w:r>
        <w:rPr>
          <w:color w:val="000000"/>
        </w:rPr>
        <w:t xml:space="preserve">Adam </w:t>
      </w:r>
      <w:r>
        <w:rPr>
          <w:smallCaps/>
          <w:color w:val="000000"/>
        </w:rPr>
        <w:t xml:space="preserve">Doležal – </w:t>
      </w:r>
      <w:r>
        <w:rPr>
          <w:color w:val="000000"/>
        </w:rPr>
        <w:t xml:space="preserve">Kateřina </w:t>
      </w:r>
      <w:r>
        <w:rPr>
          <w:smallCaps/>
          <w:color w:val="000000"/>
        </w:rPr>
        <w:t>Rusinová</w:t>
      </w:r>
      <w:r>
        <w:rPr>
          <w:color w:val="000000"/>
        </w:rPr>
        <w:t>, Biologické paradigma smrti – urgentní výzva pro lékařskou etiku 21. století, in Radek Ptáček – Petr Bartůněk</w:t>
      </w:r>
      <w:r>
        <w:rPr>
          <w:i/>
          <w:color w:val="000000"/>
        </w:rPr>
        <w:t xml:space="preserve"> a </w:t>
      </w:r>
      <w:r>
        <w:rPr>
          <w:smallCaps/>
          <w:color w:val="000000"/>
        </w:rPr>
        <w:t>kol.</w:t>
      </w:r>
      <w:r>
        <w:rPr>
          <w:color w:val="000000"/>
        </w:rPr>
        <w:t xml:space="preserve"> (eds.), </w:t>
      </w:r>
      <w:r>
        <w:rPr>
          <w:i/>
          <w:color w:val="000000"/>
        </w:rPr>
        <w:t>Etické problémy medicíny na prahu 21. století</w:t>
      </w:r>
      <w:r>
        <w:rPr>
          <w:color w:val="000000"/>
        </w:rPr>
        <w:t>, = Edice celoživotního vzdělávání ČLK, Praha: Grada, 2014,</w:t>
      </w:r>
      <w:r>
        <w:rPr>
          <w:i/>
          <w:color w:val="000000"/>
        </w:rPr>
        <w:t xml:space="preserve"> </w:t>
      </w:r>
      <w:r>
        <w:rPr>
          <w:color w:val="000000"/>
        </w:rPr>
        <w:t>s. 389-400.</w:t>
      </w:r>
    </w:p>
    <w:p w14:paraId="00000068" w14:textId="77777777" w:rsidR="00A243CD" w:rsidRDefault="0045261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Marta</w:t>
      </w:r>
      <w:r>
        <w:rPr>
          <w:smallCaps/>
          <w:color w:val="000000"/>
        </w:rPr>
        <w:t xml:space="preserve"> Munzaro</w:t>
      </w:r>
      <w:r>
        <w:rPr>
          <w:smallCaps/>
          <w:color w:val="000000"/>
        </w:rPr>
        <w:t>vá</w:t>
      </w:r>
      <w:r>
        <w:rPr>
          <w:color w:val="000000"/>
        </w:rPr>
        <w:t xml:space="preserve">, Mravní dilemata v kontextu umírání a pomoc při jejich řešení, in </w:t>
      </w:r>
      <w:r>
        <w:rPr>
          <w:i/>
          <w:color w:val="000000"/>
        </w:rPr>
        <w:t>Eutanazie, nebo paliativní péče</w:t>
      </w:r>
      <w:r>
        <w:rPr>
          <w:color w:val="000000"/>
        </w:rPr>
        <w:t>, Praha: Grada, 2005,</w:t>
      </w:r>
      <w:r>
        <w:rPr>
          <w:i/>
          <w:color w:val="000000"/>
        </w:rPr>
        <w:t xml:space="preserve"> </w:t>
      </w:r>
      <w:r>
        <w:rPr>
          <w:color w:val="000000"/>
        </w:rPr>
        <w:t>s. 83-101.</w:t>
      </w:r>
    </w:p>
    <w:p w14:paraId="00000069" w14:textId="77777777" w:rsidR="00A243CD" w:rsidRDefault="0045261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Jiří </w:t>
      </w:r>
      <w:r>
        <w:rPr>
          <w:smallCaps/>
          <w:color w:val="000000"/>
        </w:rPr>
        <w:t xml:space="preserve">Šimek, </w:t>
      </w:r>
      <w:r>
        <w:rPr>
          <w:color w:val="000000"/>
        </w:rPr>
        <w:t xml:space="preserve">Advanced directives – dříve vyslovená přání či instrukce, in </w:t>
      </w:r>
      <w:r>
        <w:rPr>
          <w:i/>
          <w:color w:val="000000"/>
        </w:rPr>
        <w:t>Lékařská etika</w:t>
      </w:r>
      <w:r>
        <w:rPr>
          <w:color w:val="000000"/>
        </w:rPr>
        <w:t>, Praha: Grada, 2015, s. 153-159.</w:t>
      </w:r>
    </w:p>
    <w:p w14:paraId="0000006A" w14:textId="77777777" w:rsidR="00A243CD" w:rsidRDefault="0045261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Ma</w:t>
      </w:r>
      <w:r>
        <w:rPr>
          <w:color w:val="000000"/>
        </w:rPr>
        <w:t>rek</w:t>
      </w:r>
      <w:r>
        <w:rPr>
          <w:smallCaps/>
          <w:color w:val="000000"/>
        </w:rPr>
        <w:t xml:space="preserve"> Vácha</w:t>
      </w:r>
      <w:r>
        <w:rPr>
          <w:color w:val="000000"/>
        </w:rPr>
        <w:t xml:space="preserve">, Diskuze o eutanazii: argumenty pro a proti, in Marek Vácha – Radana Königová – Miloš Mauer, </w:t>
      </w:r>
      <w:r>
        <w:rPr>
          <w:i/>
          <w:color w:val="000000"/>
        </w:rPr>
        <w:t>Základy moderní lékařské etiky</w:t>
      </w:r>
      <w:r>
        <w:rPr>
          <w:color w:val="000000"/>
        </w:rPr>
        <w:t>, Praha: Portál, 2012, s. 246-257.</w:t>
      </w:r>
    </w:p>
    <w:p w14:paraId="0000006B" w14:textId="77777777" w:rsidR="00A243CD" w:rsidRDefault="0045261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Zdeněk </w:t>
      </w:r>
      <w:r>
        <w:rPr>
          <w:smallCaps/>
          <w:color w:val="000000"/>
        </w:rPr>
        <w:t xml:space="preserve">Boleloucký, </w:t>
      </w:r>
      <w:r>
        <w:rPr>
          <w:color w:val="000000"/>
        </w:rPr>
        <w:t xml:space="preserve">Lékař a terminální fáze, in Jiří Vorlíček </w:t>
      </w:r>
      <w:r>
        <w:rPr>
          <w:i/>
          <w:color w:val="000000"/>
        </w:rPr>
        <w:t xml:space="preserve">a </w:t>
      </w:r>
      <w:r>
        <w:rPr>
          <w:smallCaps/>
          <w:color w:val="000000"/>
        </w:rPr>
        <w:t>kol.,</w:t>
      </w:r>
      <w:r>
        <w:rPr>
          <w:color w:val="000000"/>
        </w:rPr>
        <w:t xml:space="preserve"> </w:t>
      </w:r>
      <w:r>
        <w:rPr>
          <w:i/>
          <w:color w:val="000000"/>
        </w:rPr>
        <w:t>Paliativní medicína</w:t>
      </w:r>
      <w:r>
        <w:rPr>
          <w:color w:val="000000"/>
        </w:rPr>
        <w:t>, Praha: Grada, 2004</w:t>
      </w:r>
      <w:r>
        <w:rPr>
          <w:color w:val="000000"/>
          <w:vertAlign w:val="superscript"/>
        </w:rPr>
        <w:t>2</w:t>
      </w:r>
      <w:r>
        <w:rPr>
          <w:color w:val="000000"/>
        </w:rPr>
        <w:t>, s. 370-375.</w:t>
      </w:r>
    </w:p>
    <w:p w14:paraId="0000006C" w14:textId="77777777" w:rsidR="00A243CD" w:rsidRDefault="0045261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b/>
          <w:color w:val="000000"/>
        </w:rPr>
      </w:pPr>
      <w:r>
        <w:rPr>
          <w:b/>
          <w:color w:val="000000"/>
        </w:rPr>
        <w:t>6. Sexualita a manželství</w:t>
      </w:r>
    </w:p>
    <w:p w14:paraId="0000006D" w14:textId="77777777" w:rsidR="00A243CD" w:rsidRDefault="00A243C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</w:p>
    <w:p w14:paraId="0000006E" w14:textId="77777777" w:rsidR="00A243CD" w:rsidRDefault="0045261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Dominik </w:t>
      </w:r>
      <w:r>
        <w:rPr>
          <w:smallCaps/>
          <w:color w:val="000000"/>
        </w:rPr>
        <w:t>Opatrný</w:t>
      </w:r>
      <w:r>
        <w:rPr>
          <w:color w:val="000000"/>
        </w:rPr>
        <w:t xml:space="preserve">, Ježíšovy výroky proti rozvodu jako podnět pro současnou diskusi v katolické církvi, </w:t>
      </w:r>
      <w:r>
        <w:rPr>
          <w:i/>
          <w:color w:val="000000"/>
        </w:rPr>
        <w:t>Studia theologica</w:t>
      </w:r>
      <w:r>
        <w:rPr>
          <w:color w:val="000000"/>
        </w:rPr>
        <w:t xml:space="preserve"> 15, č. 2 (2013): 121–137.</w:t>
      </w:r>
    </w:p>
    <w:p w14:paraId="0000006F" w14:textId="77777777" w:rsidR="00A243CD" w:rsidRDefault="0045261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Jorge </w:t>
      </w:r>
      <w:r>
        <w:rPr>
          <w:smallCaps/>
          <w:color w:val="000000"/>
        </w:rPr>
        <w:t xml:space="preserve">Miras – </w:t>
      </w:r>
      <w:r>
        <w:rPr>
          <w:color w:val="000000"/>
        </w:rPr>
        <w:t xml:space="preserve">Juan Ignacio </w:t>
      </w:r>
      <w:r>
        <w:rPr>
          <w:smallCaps/>
          <w:color w:val="000000"/>
        </w:rPr>
        <w:t>Banares,</w:t>
      </w:r>
      <w:r>
        <w:rPr>
          <w:color w:val="000000"/>
        </w:rPr>
        <w:t xml:space="preserve"> Svátostná povaha křesťanského manželství, in </w:t>
      </w:r>
      <w:r>
        <w:rPr>
          <w:i/>
          <w:color w:val="000000"/>
        </w:rPr>
        <w:t>Manželství a rodina</w:t>
      </w:r>
      <w:r>
        <w:rPr>
          <w:color w:val="000000"/>
        </w:rPr>
        <w:t>, Pardubice: Axis, 2014, s.</w:t>
      </w:r>
      <w:r>
        <w:rPr>
          <w:i/>
          <w:color w:val="000000"/>
        </w:rPr>
        <w:t xml:space="preserve"> </w:t>
      </w:r>
      <w:r>
        <w:rPr>
          <w:smallCaps/>
          <w:color w:val="000000"/>
        </w:rPr>
        <w:t>77</w:t>
      </w:r>
      <w:r>
        <w:rPr>
          <w:color w:val="000000"/>
        </w:rPr>
        <w:t>–87.</w:t>
      </w:r>
    </w:p>
    <w:p w14:paraId="00000070" w14:textId="77777777" w:rsidR="00A243CD" w:rsidRDefault="0045261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Pavel </w:t>
      </w:r>
      <w:r>
        <w:rPr>
          <w:smallCaps/>
          <w:color w:val="000000"/>
        </w:rPr>
        <w:t>Ambro</w:t>
      </w:r>
      <w:r>
        <w:rPr>
          <w:smallCaps/>
        </w:rPr>
        <w:t>s</w:t>
      </w:r>
      <w:r>
        <w:rPr>
          <w:color w:val="000000"/>
        </w:rPr>
        <w:t xml:space="preserve">, Rozlišování podle Amoris Laetitia (kap. 8) papeže Františka jako diferencovanější podoba graduality, </w:t>
      </w:r>
      <w:r>
        <w:rPr>
          <w:i/>
          <w:color w:val="000000"/>
        </w:rPr>
        <w:t>Studia theologica</w:t>
      </w:r>
      <w:r>
        <w:rPr>
          <w:color w:val="000000"/>
        </w:rPr>
        <w:t xml:space="preserve"> 20, č. 1 (2018): 7-28.</w:t>
      </w:r>
    </w:p>
    <w:p w14:paraId="00000071" w14:textId="77777777" w:rsidR="00A243CD" w:rsidRDefault="0045261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smallCaps/>
          <w:color w:val="000000"/>
        </w:rPr>
        <w:t>Jan Pavel</w:t>
      </w:r>
      <w:r>
        <w:rPr>
          <w:color w:val="000000"/>
        </w:rPr>
        <w:t xml:space="preserve"> II., „Osobní společenství ve vůli vzájemného obdarování,“ „Horské kázání pro dnešního člověka,“ „Obsah přikázání ‚Nezcizoložíš‘,“ in </w:t>
      </w:r>
      <w:r>
        <w:rPr>
          <w:i/>
          <w:color w:val="000000"/>
        </w:rPr>
        <w:t>Teologie těla</w:t>
      </w:r>
      <w:r>
        <w:rPr>
          <w:color w:val="000000"/>
        </w:rPr>
        <w:t>, Praha: Paulínky, 2015, s. 159-170.</w:t>
      </w:r>
    </w:p>
    <w:p w14:paraId="00000072" w14:textId="77777777" w:rsidR="00A243CD" w:rsidRDefault="0045261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color w:val="000000"/>
        </w:rPr>
      </w:pPr>
      <w:r>
        <w:rPr>
          <w:smallCaps/>
          <w:color w:val="000000"/>
        </w:rPr>
        <w:t>Jan Pavel</w:t>
      </w:r>
      <w:r>
        <w:rPr>
          <w:color w:val="000000"/>
        </w:rPr>
        <w:t xml:space="preserve"> II., „Kristus pramen a vzor vztahů mezi manželi,“ „Z listu Efesanům vychází hlbuší pochopení církve i manželství,“ „Bytostná dvojsubjektivnost ve vztazích Kristus - církev a manžel - manželka,“ in </w:t>
      </w:r>
      <w:r>
        <w:rPr>
          <w:i/>
          <w:color w:val="000000"/>
        </w:rPr>
        <w:t>Teologie těla</w:t>
      </w:r>
      <w:r>
        <w:rPr>
          <w:color w:val="000000"/>
        </w:rPr>
        <w:t>, Praha: Paulínky, 2015, s. 405-417.</w:t>
      </w:r>
    </w:p>
    <w:p w14:paraId="00000073" w14:textId="77777777" w:rsidR="00A243CD" w:rsidRDefault="0045261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b/>
          <w:color w:val="000000"/>
        </w:rPr>
      </w:pPr>
      <w:r>
        <w:rPr>
          <w:b/>
          <w:color w:val="000000"/>
        </w:rPr>
        <w:t>7. Pravd</w:t>
      </w:r>
      <w:r>
        <w:rPr>
          <w:b/>
          <w:color w:val="000000"/>
        </w:rPr>
        <w:t>a a pravdomluvnost, média</w:t>
      </w:r>
    </w:p>
    <w:p w14:paraId="00000074" w14:textId="77777777" w:rsidR="00A243CD" w:rsidRDefault="00A243C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</w:p>
    <w:p w14:paraId="00000075" w14:textId="77777777" w:rsidR="00A243CD" w:rsidRDefault="00452612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Jozef </w:t>
      </w:r>
      <w:r>
        <w:rPr>
          <w:smallCaps/>
          <w:color w:val="000000"/>
        </w:rPr>
        <w:t>Kyselica</w:t>
      </w:r>
      <w:r>
        <w:rPr>
          <w:color w:val="000000"/>
        </w:rPr>
        <w:t xml:space="preserve">, Proces odovzdávania viery v súčasnej spoločnosti, </w:t>
      </w:r>
      <w:r>
        <w:rPr>
          <w:i/>
          <w:color w:val="000000"/>
        </w:rPr>
        <w:t>Studia Theologica</w:t>
      </w:r>
      <w:r>
        <w:rPr>
          <w:color w:val="000000"/>
        </w:rPr>
        <w:t xml:space="preserve"> 8, č. 4 (2006): 66-82.</w:t>
      </w:r>
    </w:p>
    <w:p w14:paraId="00000076" w14:textId="77777777" w:rsidR="00A243CD" w:rsidRDefault="00452612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Imrich </w:t>
      </w:r>
      <w:r>
        <w:rPr>
          <w:smallCaps/>
          <w:color w:val="000000"/>
        </w:rPr>
        <w:t>Gazda</w:t>
      </w:r>
      <w:r>
        <w:rPr>
          <w:color w:val="000000"/>
        </w:rPr>
        <w:t xml:space="preserve">, Svedkovia viery ako kľúčový prvok pri mediálnej prezentácii duchovného posolstva, </w:t>
      </w:r>
      <w:r>
        <w:rPr>
          <w:i/>
          <w:color w:val="000000"/>
        </w:rPr>
        <w:t>Studia Theologica</w:t>
      </w:r>
      <w:r>
        <w:rPr>
          <w:color w:val="000000"/>
        </w:rPr>
        <w:t xml:space="preserve"> 14, č. 3 (2012): 13-30.</w:t>
      </w:r>
    </w:p>
    <w:p w14:paraId="00000077" w14:textId="77777777" w:rsidR="00A243CD" w:rsidRDefault="00452612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Barbora </w:t>
      </w:r>
      <w:r>
        <w:rPr>
          <w:smallCaps/>
          <w:color w:val="000000"/>
        </w:rPr>
        <w:t>Osvaldová</w:t>
      </w:r>
      <w:r>
        <w:rPr>
          <w:color w:val="000000"/>
        </w:rPr>
        <w:t xml:space="preserve">, Bulvarizace a etika v českých médiích, in Barbora Osvaldová – Radim Kopáč (ed.), </w:t>
      </w:r>
      <w:r>
        <w:rPr>
          <w:i/>
          <w:color w:val="000000"/>
        </w:rPr>
        <w:t>Co je bulvár. Co je bulvarizace</w:t>
      </w:r>
      <w:r>
        <w:rPr>
          <w:color w:val="000000"/>
        </w:rPr>
        <w:t>, Praha: Karolinum, 2016,</w:t>
      </w:r>
      <w:r>
        <w:rPr>
          <w:i/>
          <w:color w:val="000000"/>
        </w:rPr>
        <w:t xml:space="preserve"> </w:t>
      </w:r>
      <w:r>
        <w:rPr>
          <w:color w:val="000000"/>
        </w:rPr>
        <w:t xml:space="preserve">9–14; Jindřich </w:t>
      </w:r>
      <w:r>
        <w:rPr>
          <w:smallCaps/>
          <w:color w:val="000000"/>
        </w:rPr>
        <w:t>Šídlo, „</w:t>
      </w:r>
      <w:r>
        <w:rPr>
          <w:color w:val="000000"/>
        </w:rPr>
        <w:t>Proč je důležité rozumět bulváru“, in tamtéž, 15–18</w:t>
      </w:r>
      <w:r>
        <w:rPr>
          <w:color w:val="000000"/>
        </w:rPr>
        <w:t>.</w:t>
      </w:r>
    </w:p>
    <w:p w14:paraId="00000078" w14:textId="77777777" w:rsidR="00A243CD" w:rsidRDefault="00452612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Monika </w:t>
      </w:r>
      <w:r>
        <w:rPr>
          <w:smallCaps/>
          <w:color w:val="000000"/>
        </w:rPr>
        <w:t xml:space="preserve">Hanych, </w:t>
      </w:r>
      <w:r>
        <w:rPr>
          <w:color w:val="000000"/>
        </w:rPr>
        <w:t xml:space="preserve">Regulace projevů na sociálních sítích, in Vojtěch Šimíček (ed.), </w:t>
      </w:r>
      <w:r>
        <w:rPr>
          <w:i/>
          <w:color w:val="000000"/>
        </w:rPr>
        <w:t>Regulace médií</w:t>
      </w:r>
      <w:r>
        <w:rPr>
          <w:color w:val="000000"/>
        </w:rPr>
        <w:t>, Brno: Masarykova univerzita, 2018, 73–91.</w:t>
      </w:r>
    </w:p>
    <w:p w14:paraId="00000079" w14:textId="77777777" w:rsidR="00A243CD" w:rsidRDefault="00A243C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0000007A" w14:textId="77777777" w:rsidR="00A243CD" w:rsidRDefault="0045261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b/>
          <w:color w:val="000000"/>
        </w:rPr>
      </w:pPr>
      <w:r>
        <w:rPr>
          <w:b/>
          <w:color w:val="000000"/>
        </w:rPr>
        <w:t>8. Sociální nauka církve</w:t>
      </w:r>
    </w:p>
    <w:p w14:paraId="0000007B" w14:textId="77777777" w:rsidR="00A243CD" w:rsidRDefault="00A243C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</w:p>
    <w:p w14:paraId="0000007C" w14:textId="77777777" w:rsidR="00A243CD" w:rsidRDefault="00452612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Vojtěch </w:t>
      </w:r>
      <w:r>
        <w:rPr>
          <w:smallCaps/>
          <w:color w:val="000000"/>
        </w:rPr>
        <w:t>Mašek</w:t>
      </w:r>
      <w:r>
        <w:rPr>
          <w:color w:val="000000"/>
        </w:rPr>
        <w:t xml:space="preserve">, ‚Banalita‘ dobra a strukturální hřích, </w:t>
      </w:r>
      <w:r>
        <w:rPr>
          <w:i/>
          <w:color w:val="000000"/>
        </w:rPr>
        <w:t>Acta Universitatis Carolinae Theologica</w:t>
      </w:r>
      <w:r>
        <w:rPr>
          <w:color w:val="000000"/>
        </w:rPr>
        <w:t xml:space="preserve"> 6, č. 1 (2016): 173-196.</w:t>
      </w:r>
    </w:p>
    <w:p w14:paraId="0000007D" w14:textId="77777777" w:rsidR="00A243CD" w:rsidRDefault="00452612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Petr </w:t>
      </w:r>
      <w:r>
        <w:rPr>
          <w:smallCaps/>
          <w:color w:val="000000"/>
        </w:rPr>
        <w:t>Štica</w:t>
      </w:r>
      <w:r>
        <w:rPr>
          <w:color w:val="000000"/>
        </w:rPr>
        <w:t xml:space="preserve">, Charita a sociální učení církve: Reflexe jejich vztahu (zejména) na základě historického vývoje magisteriálních dokumentů, </w:t>
      </w:r>
      <w:r>
        <w:rPr>
          <w:i/>
          <w:color w:val="000000"/>
        </w:rPr>
        <w:t>Acta Universitatis Carolinae Theologica</w:t>
      </w:r>
      <w:r>
        <w:rPr>
          <w:color w:val="000000"/>
        </w:rPr>
        <w:t>, 3, č. 1 (2013):</w:t>
      </w:r>
      <w:r>
        <w:rPr>
          <w:color w:val="000000"/>
        </w:rPr>
        <w:t xml:space="preserve"> 127-149.</w:t>
      </w:r>
    </w:p>
    <w:p w14:paraId="0000007E" w14:textId="77777777" w:rsidR="00A243CD" w:rsidRDefault="00452612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Karel </w:t>
      </w:r>
      <w:r>
        <w:rPr>
          <w:smallCaps/>
          <w:color w:val="000000"/>
        </w:rPr>
        <w:t xml:space="preserve">Sládek, </w:t>
      </w:r>
      <w:r>
        <w:rPr>
          <w:color w:val="000000"/>
        </w:rPr>
        <w:t xml:space="preserve">Chudí v „zelené encyklice“ </w:t>
      </w:r>
      <w:r>
        <w:rPr>
          <w:i/>
          <w:color w:val="000000"/>
        </w:rPr>
        <w:t>Laudato sii</w:t>
      </w:r>
      <w:r>
        <w:rPr>
          <w:color w:val="000000"/>
        </w:rPr>
        <w:t xml:space="preserve"> papeže Františka,  </w:t>
      </w:r>
      <w:r>
        <w:rPr>
          <w:i/>
          <w:color w:val="000000"/>
        </w:rPr>
        <w:t>Communio</w:t>
      </w:r>
      <w:r>
        <w:rPr>
          <w:color w:val="000000"/>
        </w:rPr>
        <w:t xml:space="preserve"> 77, č. 4 (2015): 75-87.</w:t>
      </w:r>
    </w:p>
    <w:p w14:paraId="0000007F" w14:textId="77777777" w:rsidR="00A243CD" w:rsidRDefault="00452612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Francisco Bastitta </w:t>
      </w:r>
      <w:r>
        <w:rPr>
          <w:smallCaps/>
          <w:color w:val="000000"/>
        </w:rPr>
        <w:t>Harriet</w:t>
      </w:r>
      <w:r>
        <w:rPr>
          <w:color w:val="000000"/>
        </w:rPr>
        <w:t xml:space="preserve">, Vychovávat ke svobodě – integrovat naše lidství, Communio 85, č. 4 (2017): 63-77.  </w:t>
      </w:r>
    </w:p>
    <w:p w14:paraId="00000080" w14:textId="77777777" w:rsidR="00A243CD" w:rsidRDefault="00452612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lastRenderedPageBreak/>
        <w:t xml:space="preserve">Luis </w:t>
      </w:r>
      <w:r>
        <w:rPr>
          <w:smallCaps/>
          <w:color w:val="000000"/>
        </w:rPr>
        <w:t>Balina</w:t>
      </w:r>
      <w:r>
        <w:rPr>
          <w:color w:val="000000"/>
        </w:rPr>
        <w:t xml:space="preserve">, Vůči komu jsem zodpovědný?, </w:t>
      </w:r>
      <w:r>
        <w:rPr>
          <w:i/>
          <w:color w:val="000000"/>
        </w:rPr>
        <w:t>Communio</w:t>
      </w:r>
      <w:r>
        <w:rPr>
          <w:color w:val="000000"/>
        </w:rPr>
        <w:t xml:space="preserve"> 3 (2008): 290–299.</w:t>
      </w:r>
    </w:p>
    <w:p w14:paraId="00000081" w14:textId="77777777" w:rsidR="00A243CD" w:rsidRDefault="00A243C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00000082" w14:textId="77777777" w:rsidR="00A243CD" w:rsidRDefault="00A243C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</w:p>
    <w:p w14:paraId="00000083" w14:textId="77777777" w:rsidR="00A243CD" w:rsidRDefault="00A243C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00000084" w14:textId="77777777" w:rsidR="00A243CD" w:rsidRDefault="00A243C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bookmarkStart w:id="1" w:name="_heading=h.gjdgxs" w:colFirst="0" w:colLast="0"/>
      <w:bookmarkEnd w:id="1"/>
    </w:p>
    <w:p w14:paraId="00000085" w14:textId="77777777" w:rsidR="00A243CD" w:rsidRDefault="00A243C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sectPr w:rsidR="00A243CD">
      <w:footerReference w:type="even" r:id="rId8"/>
      <w:footerReference w:type="default" r:id="rId9"/>
      <w:pgSz w:w="11906" w:h="16838"/>
      <w:pgMar w:top="1418" w:right="1418" w:bottom="1418" w:left="1418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5CF5EA" w14:textId="77777777" w:rsidR="00000000" w:rsidRDefault="00452612">
      <w:pPr>
        <w:spacing w:line="240" w:lineRule="auto"/>
        <w:ind w:left="0" w:hanging="2"/>
      </w:pPr>
      <w:r>
        <w:separator/>
      </w:r>
    </w:p>
  </w:endnote>
  <w:endnote w:type="continuationSeparator" w:id="0">
    <w:p w14:paraId="21539893" w14:textId="77777777" w:rsidR="00000000" w:rsidRDefault="00452612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86" w14:textId="77777777" w:rsidR="00A243CD" w:rsidRDefault="0045261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360" w:lineRule="auto"/>
      <w:ind w:left="0" w:hanging="2"/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end"/>
    </w:r>
  </w:p>
  <w:p w14:paraId="00000087" w14:textId="77777777" w:rsidR="00A243CD" w:rsidRDefault="00A243C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360" w:lineRule="auto"/>
      <w:ind w:left="0" w:right="360" w:hanging="2"/>
      <w:jc w:val="both"/>
      <w:rPr>
        <w:color w:val="000000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88" w14:textId="5F88BF9F" w:rsidR="00A243CD" w:rsidRDefault="0045261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360" w:lineRule="auto"/>
      <w:ind w:left="0" w:hanging="2"/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>
      <w:rPr>
        <w:noProof/>
        <w:color w:val="000000"/>
        <w:sz w:val="24"/>
        <w:szCs w:val="24"/>
      </w:rPr>
      <w:t>1</w:t>
    </w:r>
    <w:r>
      <w:rPr>
        <w:color w:val="000000"/>
        <w:sz w:val="24"/>
        <w:szCs w:val="24"/>
      </w:rPr>
      <w:fldChar w:fldCharType="end"/>
    </w:r>
  </w:p>
  <w:p w14:paraId="00000089" w14:textId="77777777" w:rsidR="00A243CD" w:rsidRDefault="00A243C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360" w:lineRule="auto"/>
      <w:ind w:left="0" w:hanging="2"/>
      <w:jc w:val="both"/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840A8B" w14:textId="77777777" w:rsidR="00000000" w:rsidRDefault="00452612">
      <w:pPr>
        <w:spacing w:line="240" w:lineRule="auto"/>
        <w:ind w:left="0" w:hanging="2"/>
      </w:pPr>
      <w:r>
        <w:separator/>
      </w:r>
    </w:p>
  </w:footnote>
  <w:footnote w:type="continuationSeparator" w:id="0">
    <w:p w14:paraId="211DBFA4" w14:textId="77777777" w:rsidR="00000000" w:rsidRDefault="00452612">
      <w:pPr>
        <w:spacing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B5CAD"/>
    <w:multiLevelType w:val="multilevel"/>
    <w:tmpl w:val="3A042E7A"/>
    <w:lvl w:ilvl="0">
      <w:start w:val="1"/>
      <w:numFmt w:val="bullet"/>
      <w:pStyle w:val="Styl1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37062807"/>
    <w:multiLevelType w:val="multilevel"/>
    <w:tmpl w:val="C3260BFA"/>
    <w:lvl w:ilvl="0">
      <w:start w:val="1"/>
      <w:numFmt w:val="bullet"/>
      <w:pStyle w:val="OdrkovseznamHTML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C112A73"/>
    <w:multiLevelType w:val="multilevel"/>
    <w:tmpl w:val="825A1EC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48C036D2"/>
    <w:multiLevelType w:val="multilevel"/>
    <w:tmpl w:val="83E20E2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55CF289B"/>
    <w:multiLevelType w:val="multilevel"/>
    <w:tmpl w:val="0632132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5BA47804"/>
    <w:multiLevelType w:val="multilevel"/>
    <w:tmpl w:val="0482717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 w15:restartNumberingAfterBreak="0">
    <w:nsid w:val="5CF32C0F"/>
    <w:multiLevelType w:val="multilevel"/>
    <w:tmpl w:val="06A2C84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 w15:restartNumberingAfterBreak="0">
    <w:nsid w:val="5D58302B"/>
    <w:multiLevelType w:val="multilevel"/>
    <w:tmpl w:val="32FA00A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5D9D1161"/>
    <w:multiLevelType w:val="multilevel"/>
    <w:tmpl w:val="D98EA4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9" w15:restartNumberingAfterBreak="0">
    <w:nsid w:val="62B75C14"/>
    <w:multiLevelType w:val="multilevel"/>
    <w:tmpl w:val="88A6C00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0" w15:restartNumberingAfterBreak="0">
    <w:nsid w:val="647A6060"/>
    <w:multiLevelType w:val="multilevel"/>
    <w:tmpl w:val="0DA613B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1" w15:restartNumberingAfterBreak="0">
    <w:nsid w:val="668E28B5"/>
    <w:multiLevelType w:val="multilevel"/>
    <w:tmpl w:val="D9202B6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2" w15:restartNumberingAfterBreak="0">
    <w:nsid w:val="6C7C1D3B"/>
    <w:multiLevelType w:val="multilevel"/>
    <w:tmpl w:val="293665A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3" w15:restartNumberingAfterBreak="0">
    <w:nsid w:val="78407F17"/>
    <w:multiLevelType w:val="multilevel"/>
    <w:tmpl w:val="C68696B4"/>
    <w:lvl w:ilvl="0">
      <w:start w:val="1"/>
      <w:numFmt w:val="bullet"/>
      <w:pStyle w:val="Odrky-slo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1"/>
  </w:num>
  <w:num w:numId="2">
    <w:abstractNumId w:val="13"/>
  </w:num>
  <w:num w:numId="3">
    <w:abstractNumId w:val="0"/>
  </w:num>
  <w:num w:numId="4">
    <w:abstractNumId w:val="2"/>
  </w:num>
  <w:num w:numId="5">
    <w:abstractNumId w:val="12"/>
  </w:num>
  <w:num w:numId="6">
    <w:abstractNumId w:val="8"/>
  </w:num>
  <w:num w:numId="7">
    <w:abstractNumId w:val="4"/>
  </w:num>
  <w:num w:numId="8">
    <w:abstractNumId w:val="10"/>
  </w:num>
  <w:num w:numId="9">
    <w:abstractNumId w:val="9"/>
  </w:num>
  <w:num w:numId="10">
    <w:abstractNumId w:val="7"/>
  </w:num>
  <w:num w:numId="11">
    <w:abstractNumId w:val="11"/>
  </w:num>
  <w:num w:numId="12">
    <w:abstractNumId w:val="6"/>
  </w:num>
  <w:num w:numId="13">
    <w:abstractNumId w:val="5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visionView w:inkAnnotation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43CD"/>
    <w:rsid w:val="00452612"/>
    <w:rsid w:val="00A24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C1300"/>
  <w15:docId w15:val="{758314D5-EC80-4E9F-9D4A-577E41CEE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Nadpis1">
    <w:name w:val="heading 1"/>
    <w:basedOn w:val="Normln"/>
    <w:next w:val="Normln"/>
    <w:uiPriority w:val="9"/>
    <w:qFormat/>
    <w:pPr>
      <w:keepNext/>
    </w:pPr>
    <w:rPr>
      <w:u w:val="single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jc w:val="both"/>
      <w:outlineLvl w:val="1"/>
    </w:pPr>
    <w:rPr>
      <w:b/>
      <w:sz w:val="24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jc w:val="both"/>
      <w:outlineLvl w:val="2"/>
    </w:pPr>
    <w:rPr>
      <w:i/>
      <w:sz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outlineLvl w:val="4"/>
    </w:pPr>
    <w:rPr>
      <w:b/>
      <w:sz w:val="24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ind w:left="340"/>
      <w:jc w:val="both"/>
      <w:outlineLvl w:val="5"/>
    </w:pPr>
    <w:rPr>
      <w:sz w:val="24"/>
    </w:rPr>
  </w:style>
  <w:style w:type="paragraph" w:styleId="Nadpis7">
    <w:name w:val="heading 7"/>
    <w:basedOn w:val="Normln"/>
    <w:next w:val="Normln"/>
    <w:pPr>
      <w:keepNext/>
      <w:jc w:val="both"/>
      <w:outlineLvl w:val="6"/>
    </w:pPr>
    <w:rPr>
      <w:b/>
      <w:i/>
    </w:rPr>
  </w:style>
  <w:style w:type="paragraph" w:styleId="Nadpis8">
    <w:name w:val="heading 8"/>
    <w:basedOn w:val="Normln"/>
    <w:next w:val="Normln"/>
    <w:pPr>
      <w:keepNext/>
      <w:jc w:val="both"/>
      <w:outlineLvl w:val="7"/>
    </w:pPr>
    <w:rPr>
      <w:b/>
      <w:sz w:val="28"/>
    </w:rPr>
  </w:style>
  <w:style w:type="paragraph" w:styleId="Nadpis9">
    <w:name w:val="heading 9"/>
    <w:basedOn w:val="Normln"/>
    <w:next w:val="Normln"/>
    <w:pPr>
      <w:keepNext/>
      <w:jc w:val="both"/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uiPriority w:val="10"/>
    <w:qFormat/>
    <w:pPr>
      <w:jc w:val="center"/>
    </w:pPr>
    <w:rPr>
      <w:rFonts w:ascii="Arial" w:hAnsi="Arial"/>
      <w:b/>
      <w:bCs/>
      <w:sz w:val="24"/>
      <w:u w:val="single"/>
    </w:rPr>
  </w:style>
  <w:style w:type="paragraph" w:customStyle="1" w:styleId="Nadpis4Pododdlvtextu">
    <w:name w:val="Nadpis 4;Pododdíl v textu"/>
    <w:basedOn w:val="Normln"/>
    <w:next w:val="Normln"/>
    <w:pPr>
      <w:keepNext/>
      <w:widowControl w:val="0"/>
      <w:jc w:val="both"/>
      <w:outlineLvl w:val="3"/>
    </w:pPr>
    <w:rPr>
      <w:i/>
      <w:caps/>
      <w:sz w:val="24"/>
    </w:rPr>
  </w:style>
  <w:style w:type="paragraph" w:styleId="Zkladntext">
    <w:name w:val="Body Text"/>
    <w:basedOn w:val="Normln"/>
    <w:pPr>
      <w:jc w:val="both"/>
    </w:pPr>
    <w:rPr>
      <w:sz w:val="36"/>
    </w:rPr>
  </w:style>
  <w:style w:type="paragraph" w:styleId="Zkladntext2">
    <w:name w:val="Body Text 2"/>
    <w:basedOn w:val="Normln"/>
    <w:pPr>
      <w:jc w:val="both"/>
    </w:pPr>
    <w:rPr>
      <w:b/>
      <w:sz w:val="28"/>
    </w:rPr>
  </w:style>
  <w:style w:type="character" w:styleId="slostrnky">
    <w:name w:val="page number"/>
    <w:basedOn w:val="Standardnpsmoodstavce"/>
    <w:rPr>
      <w:w w:val="100"/>
      <w:position w:val="-1"/>
      <w:effect w:val="none"/>
      <w:vertAlign w:val="baseline"/>
      <w:cs w:val="0"/>
      <w:em w:val="none"/>
    </w:rPr>
  </w:style>
  <w:style w:type="paragraph" w:styleId="Zpat">
    <w:name w:val="footer"/>
    <w:basedOn w:val="Normln"/>
    <w:pPr>
      <w:tabs>
        <w:tab w:val="center" w:pos="4536"/>
        <w:tab w:val="right" w:pos="9072"/>
      </w:tabs>
      <w:spacing w:line="360" w:lineRule="auto"/>
      <w:jc w:val="both"/>
    </w:pPr>
    <w:rPr>
      <w:sz w:val="24"/>
    </w:rPr>
  </w:style>
  <w:style w:type="paragraph" w:styleId="Zkladntextodsazen">
    <w:name w:val="Body Text Indent"/>
    <w:basedOn w:val="Normln"/>
    <w:pPr>
      <w:ind w:left="340"/>
    </w:pPr>
    <w:rPr>
      <w:sz w:val="24"/>
    </w:rPr>
  </w:style>
  <w:style w:type="paragraph" w:customStyle="1" w:styleId="OdrkovseznamHTML">
    <w:name w:val="Odrážkový seznam HTML"/>
    <w:basedOn w:val="Normln"/>
    <w:pPr>
      <w:numPr>
        <w:numId w:val="1"/>
      </w:numPr>
      <w:ind w:left="-1" w:hanging="1"/>
    </w:pPr>
    <w:rPr>
      <w:sz w:val="24"/>
    </w:rPr>
  </w:style>
  <w:style w:type="paragraph" w:customStyle="1" w:styleId="Poadavky">
    <w:name w:val="Požadavky"/>
    <w:basedOn w:val="Normln"/>
    <w:pPr>
      <w:spacing w:before="120" w:after="120"/>
    </w:pPr>
    <w:rPr>
      <w:b/>
      <w:sz w:val="24"/>
    </w:rPr>
  </w:style>
  <w:style w:type="paragraph" w:styleId="Zkladntext3">
    <w:name w:val="Body Text 3"/>
    <w:basedOn w:val="Normln"/>
    <w:pPr>
      <w:jc w:val="both"/>
    </w:pPr>
    <w:rPr>
      <w:sz w:val="24"/>
    </w:rPr>
  </w:style>
  <w:style w:type="paragraph" w:customStyle="1" w:styleId="Podtitul">
    <w:name w:val="Podtitul"/>
    <w:basedOn w:val="Normln"/>
    <w:pPr>
      <w:jc w:val="both"/>
    </w:pPr>
    <w:rPr>
      <w:caps/>
      <w:sz w:val="24"/>
    </w:rPr>
  </w:style>
  <w:style w:type="paragraph" w:customStyle="1" w:styleId="Odrky-slo">
    <w:name w:val="Odrážky-číslo"/>
    <w:basedOn w:val="Normln"/>
    <w:pPr>
      <w:numPr>
        <w:numId w:val="2"/>
      </w:numPr>
      <w:spacing w:before="60" w:after="60"/>
      <w:ind w:left="-1" w:hanging="1"/>
      <w:jc w:val="both"/>
    </w:pPr>
    <w:rPr>
      <w:sz w:val="24"/>
    </w:rPr>
  </w:style>
  <w:style w:type="paragraph" w:customStyle="1" w:styleId="Styl1">
    <w:name w:val="Styl1"/>
    <w:basedOn w:val="Normln"/>
    <w:pPr>
      <w:numPr>
        <w:numId w:val="3"/>
      </w:numPr>
      <w:ind w:left="-1" w:hanging="1"/>
    </w:pPr>
    <w:rPr>
      <w:sz w:val="24"/>
      <w:szCs w:val="24"/>
    </w:rPr>
  </w:style>
  <w:style w:type="character" w:styleId="Hypertextovodkaz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customStyle="1" w:styleId="Zvraznn">
    <w:name w:val="Zvýraznění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Textpoznpodarou">
    <w:name w:val="footnote text"/>
    <w:basedOn w:val="Normln"/>
  </w:style>
  <w:style w:type="paragraph" w:styleId="Rozloendokumentu">
    <w:name w:val="Document Map"/>
    <w:basedOn w:val="Normln"/>
    <w:pPr>
      <w:shd w:val="clear" w:color="auto" w:fill="000080"/>
    </w:pPr>
    <w:rPr>
      <w:rFonts w:ascii="Tahoma" w:hAnsi="Tahoma"/>
    </w:rPr>
  </w:style>
  <w:style w:type="paragraph" w:styleId="Zkladntextodsazen2">
    <w:name w:val="Body Text Indent 2"/>
    <w:basedOn w:val="Normln"/>
    <w:pPr>
      <w:ind w:left="360"/>
    </w:pPr>
    <w:rPr>
      <w:b/>
      <w:color w:val="FF0000"/>
      <w:sz w:val="24"/>
    </w:rPr>
  </w:style>
  <w:style w:type="paragraph" w:styleId="FormtovanvHTML">
    <w:name w:val="HTML Preformatted"/>
    <w:basedOn w:val="Normln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Normlnweb">
    <w:name w:val="Normal (Web)"/>
    <w:basedOn w:val="Normln"/>
    <w:pPr>
      <w:shd w:val="clear" w:color="auto" w:fill="FFFFFF"/>
    </w:pPr>
    <w:rPr>
      <w:color w:val="000000"/>
    </w:rPr>
  </w:style>
  <w:style w:type="character" w:customStyle="1" w:styleId="moz-txt-tag">
    <w:name w:val="moz-txt-tag"/>
    <w:basedOn w:val="Standardnpsmoodstavce"/>
    <w:rPr>
      <w:w w:val="100"/>
      <w:position w:val="-1"/>
      <w:effect w:val="none"/>
      <w:vertAlign w:val="baseline"/>
      <w:cs w:val="0"/>
      <w:em w:val="none"/>
    </w:rPr>
  </w:style>
  <w:style w:type="paragraph" w:customStyle="1" w:styleId="bodytext">
    <w:name w:val="bodytext"/>
    <w:basedOn w:val="Normln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pPr>
      <w:ind w:left="720"/>
      <w:contextualSpacing/>
    </w:pPr>
    <w:rPr>
      <w:rFonts w:ascii="Liberation Serif" w:eastAsia="NSimSun" w:hAnsi="Liberation Serif" w:cs="Mangal"/>
      <w:kern w:val="2"/>
      <w:sz w:val="24"/>
      <w:szCs w:val="21"/>
      <w:lang w:eastAsia="zh-CN" w:bidi="hi-IN"/>
    </w:rPr>
  </w:style>
  <w:style w:type="character" w:styleId="Odkaznakoment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komente">
    <w:name w:val="annotation text"/>
    <w:basedOn w:val="Normln"/>
  </w:style>
  <w:style w:type="paragraph" w:styleId="Pedmtkomente">
    <w:name w:val="annotation subject"/>
    <w:basedOn w:val="Textkomente"/>
    <w:next w:val="Textkomente"/>
    <w:rPr>
      <w:b/>
      <w:bCs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Bibliografie">
    <w:name w:val="Bibliography"/>
    <w:basedOn w:val="Normln"/>
    <w:pPr>
      <w:spacing w:line="360" w:lineRule="auto"/>
      <w:ind w:left="567" w:hanging="567"/>
    </w:pPr>
    <w:rPr>
      <w:sz w:val="24"/>
      <w:szCs w:val="24"/>
    </w:rPr>
  </w:style>
  <w:style w:type="character" w:customStyle="1" w:styleId="BibliografieChar">
    <w:name w:val="Bibliografie Char"/>
    <w:rPr>
      <w:w w:val="100"/>
      <w:position w:val="-1"/>
      <w:sz w:val="24"/>
      <w:szCs w:val="24"/>
      <w:effect w:val="none"/>
      <w:vertAlign w:val="baseline"/>
      <w:cs w:val="0"/>
      <w:em w:val="none"/>
      <w:lang w:val="cs-CZ" w:eastAsia="cs-CZ" w:bidi="ar-SA"/>
    </w:rPr>
  </w:style>
  <w:style w:type="paragraph" w:customStyle="1" w:styleId="Normln-odsazen">
    <w:name w:val="Normální - odsazen"/>
    <w:basedOn w:val="Normln"/>
    <w:pPr>
      <w:spacing w:line="360" w:lineRule="auto"/>
      <w:ind w:firstLine="567"/>
      <w:jc w:val="both"/>
    </w:pPr>
    <w:rPr>
      <w:sz w:val="24"/>
      <w:szCs w:val="24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evVVJz1rtJ5jKhC1Q/bXm0x9irg==">CgMxLjAyCGguZ2pkZ3hzOAByITFCTWVNU0RLZGdPX0taZVBfTUxfQzRkY2VmbEI0Mm9MQg==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1870</Words>
  <Characters>11038</Characters>
  <Application>Microsoft Office Word</Application>
  <DocSecurity>0</DocSecurity>
  <Lines>91</Lines>
  <Paragraphs>25</Paragraphs>
  <ScaleCrop>false</ScaleCrop>
  <Company>UPOL</Company>
  <LinksUpToDate>false</LinksUpToDate>
  <CharactersWithSpaces>12883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Vlkova</dc:creator>
  <cp:lastModifiedBy>Hradilova Kristyna</cp:lastModifiedBy>
  <cp:revision>2</cp:revision>
  <dcterms:created xsi:type="dcterms:W3CDTF">2024-06-10T11:25:00Z</dcterms:created>
  <dcterms:modified xsi:type="dcterms:W3CDTF">2025-09-12T07:01:00Z</dcterms:modified>
</cp:coreProperties>
</file>