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1B" w:rsidRPr="00173931" w:rsidRDefault="00C26A1B" w:rsidP="00C26A1B">
      <w:pPr>
        <w:pStyle w:val="Nadpis6"/>
        <w:rPr>
          <w:rFonts w:asciiTheme="minorHAnsi" w:hAnsiTheme="minorHAnsi"/>
          <w:i w:val="0"/>
          <w:sz w:val="40"/>
          <w:szCs w:val="40"/>
        </w:rPr>
      </w:pPr>
      <w:proofErr w:type="gramStart"/>
      <w:r w:rsidRPr="00173931">
        <w:rPr>
          <w:rFonts w:asciiTheme="minorHAnsi" w:hAnsiTheme="minorHAnsi"/>
          <w:i w:val="0"/>
          <w:sz w:val="40"/>
          <w:szCs w:val="40"/>
        </w:rPr>
        <w:t>ZADANÉ  PRÁCE</w:t>
      </w:r>
      <w:proofErr w:type="gramEnd"/>
      <w:r w:rsidRPr="00173931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C26A1B" w:rsidRPr="00173931" w:rsidRDefault="00C26A1B" w:rsidP="00C26A1B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C26A1B" w:rsidRPr="00173931" w:rsidRDefault="00C26A1B" w:rsidP="00C26A1B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173931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173931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173931">
        <w:rPr>
          <w:rFonts w:asciiTheme="minorHAnsi" w:hAnsiTheme="minorHAnsi"/>
          <w:color w:val="0000FF"/>
          <w:sz w:val="36"/>
          <w:szCs w:val="36"/>
          <w:u w:val="single"/>
        </w:rPr>
        <w:t>Biblická teologie</w:t>
      </w:r>
    </w:p>
    <w:p w:rsidR="00C26A1B" w:rsidRPr="00173931" w:rsidRDefault="00C26A1B" w:rsidP="00C26A1B">
      <w:pPr>
        <w:rPr>
          <w:rFonts w:asciiTheme="minorHAnsi" w:hAnsiTheme="minorHAnsi"/>
          <w:sz w:val="28"/>
          <w:szCs w:val="28"/>
          <w:u w:val="single"/>
        </w:rPr>
      </w:pPr>
    </w:p>
    <w:p w:rsidR="00C26A1B" w:rsidRPr="00173931" w:rsidRDefault="00C26A1B" w:rsidP="00C26A1B">
      <w:pPr>
        <w:rPr>
          <w:rFonts w:asciiTheme="minorHAnsi" w:hAnsiTheme="minorHAnsi"/>
          <w:b/>
          <w:i/>
          <w:color w:val="FF0000"/>
          <w:sz w:val="32"/>
          <w:szCs w:val="32"/>
        </w:rPr>
      </w:pPr>
      <w:r w:rsidRPr="00173931">
        <w:rPr>
          <w:rFonts w:asciiTheme="minorHAnsi" w:hAnsiTheme="minorHAnsi"/>
          <w:b/>
          <w:i/>
          <w:color w:val="FF0000"/>
          <w:sz w:val="32"/>
          <w:szCs w:val="32"/>
        </w:rPr>
        <w:t>LICENCIÁTNÍ  PRÁCE</w:t>
      </w:r>
    </w:p>
    <w:p w:rsidR="00C26A1B" w:rsidRPr="00173931" w:rsidRDefault="00C26A1B" w:rsidP="00C26A1B">
      <w:pPr>
        <w:pStyle w:val="Znaka"/>
        <w:keepNext w:val="0"/>
        <w:spacing w:before="0" w:after="0"/>
        <w:rPr>
          <w:rFonts w:asciiTheme="minorHAnsi" w:hAnsiTheme="minorHAnsi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417"/>
      </w:tblGrid>
      <w:tr w:rsidR="00C26A1B" w:rsidRPr="00173931" w:rsidTr="00C26A1B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C26A1B" w:rsidRPr="00173931" w:rsidRDefault="00C26A1B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7393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73931">
              <w:rPr>
                <w:rFonts w:asciiTheme="minorHAnsi" w:hAnsiTheme="minorHAnsi"/>
                <w:u w:val="none"/>
              </w:rPr>
              <w:t xml:space="preserve">  STARÝ</w:t>
            </w:r>
            <w:proofErr w:type="gramEnd"/>
            <w:r w:rsidRPr="00173931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417" w:type="dxa"/>
            <w:shd w:val="clear" w:color="auto" w:fill="FFFF99"/>
          </w:tcPr>
          <w:p w:rsidR="00C26A1B" w:rsidRPr="00173931" w:rsidRDefault="00C26A1B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7393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7622E4" w:rsidRPr="00173931" w:rsidTr="004D6224">
        <w:trPr>
          <w:cantSplit/>
        </w:trPr>
        <w:tc>
          <w:tcPr>
            <w:tcW w:w="2197" w:type="dxa"/>
            <w:vAlign w:val="center"/>
          </w:tcPr>
          <w:p w:rsidR="007622E4" w:rsidRPr="00173931" w:rsidRDefault="004C69C4" w:rsidP="004D6224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SÝKORA Karel</w:t>
            </w:r>
          </w:p>
        </w:tc>
        <w:tc>
          <w:tcPr>
            <w:tcW w:w="6095" w:type="dxa"/>
            <w:vAlign w:val="center"/>
          </w:tcPr>
          <w:p w:rsidR="007622E4" w:rsidRPr="004C69C4" w:rsidRDefault="004C69C4" w:rsidP="004D6224">
            <w:pPr>
              <w:rPr>
                <w:rFonts w:asciiTheme="minorHAnsi" w:hAnsiTheme="minorHAnsi"/>
                <w:i/>
                <w:sz w:val="24"/>
              </w:rPr>
            </w:pPr>
            <w:r w:rsidRPr="004C69C4">
              <w:rPr>
                <w:rFonts w:asciiTheme="minorHAnsi" w:hAnsiTheme="minorHAnsi"/>
                <w:bCs/>
                <w:i/>
                <w:sz w:val="24"/>
                <w:szCs w:val="24"/>
              </w:rPr>
              <w:t>Mojžíšovo narození, jeho konflikt v Egyptě a útěk z Egypta: Narativní analýza (Ex 2, 1-22)</w:t>
            </w:r>
          </w:p>
        </w:tc>
        <w:tc>
          <w:tcPr>
            <w:tcW w:w="1417" w:type="dxa"/>
            <w:vAlign w:val="center"/>
          </w:tcPr>
          <w:p w:rsidR="007622E4" w:rsidRPr="00173931" w:rsidRDefault="004C69C4" w:rsidP="004D622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27. 10. 2017</w:t>
            </w:r>
          </w:p>
        </w:tc>
      </w:tr>
    </w:tbl>
    <w:p w:rsidR="00C26A1B" w:rsidRPr="00173931" w:rsidRDefault="00C26A1B" w:rsidP="00C26A1B">
      <w:pPr>
        <w:rPr>
          <w:rFonts w:asciiTheme="minorHAnsi" w:hAnsiTheme="minorHAnsi"/>
          <w:sz w:val="16"/>
          <w:szCs w:val="16"/>
        </w:rPr>
      </w:pPr>
    </w:p>
    <w:p w:rsidR="00C26A1B" w:rsidRPr="00173931" w:rsidRDefault="00C26A1B" w:rsidP="00C26A1B">
      <w:pPr>
        <w:rPr>
          <w:rFonts w:asciiTheme="minorHAnsi" w:hAnsiTheme="minorHAnsi"/>
          <w:sz w:val="16"/>
          <w:szCs w:val="16"/>
          <w:u w:val="single"/>
        </w:rPr>
      </w:pPr>
    </w:p>
    <w:p w:rsidR="00C26A1B" w:rsidRPr="00173931" w:rsidRDefault="00C26A1B" w:rsidP="00C26A1B">
      <w:pPr>
        <w:rPr>
          <w:rFonts w:asciiTheme="minorHAnsi" w:hAnsiTheme="minorHAnsi"/>
          <w:b/>
          <w:i/>
          <w:color w:val="FF0000"/>
          <w:sz w:val="32"/>
          <w:szCs w:val="32"/>
        </w:rPr>
      </w:pPr>
      <w:proofErr w:type="gramStart"/>
      <w:r w:rsidRPr="00173931">
        <w:rPr>
          <w:rFonts w:asciiTheme="minorHAnsi" w:hAnsiTheme="minorHAnsi"/>
          <w:b/>
          <w:i/>
          <w:color w:val="FF0000"/>
          <w:sz w:val="32"/>
          <w:szCs w:val="32"/>
        </w:rPr>
        <w:t>DISERTAČNÍ  PRÁCE</w:t>
      </w:r>
      <w:proofErr w:type="gramEnd"/>
    </w:p>
    <w:p w:rsidR="00C26A1B" w:rsidRPr="00173931" w:rsidRDefault="00C26A1B" w:rsidP="00C26A1B">
      <w:pPr>
        <w:pStyle w:val="Znaka"/>
        <w:keepNext w:val="0"/>
        <w:spacing w:before="0" w:after="0"/>
        <w:rPr>
          <w:rFonts w:asciiTheme="minorHAnsi" w:hAnsiTheme="minorHAnsi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275"/>
      </w:tblGrid>
      <w:tr w:rsidR="00C26A1B" w:rsidRPr="00173931" w:rsidTr="00B24264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</w:tcPr>
          <w:p w:rsidR="00C26A1B" w:rsidRPr="00173931" w:rsidRDefault="00C26A1B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7393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73931">
              <w:rPr>
                <w:rFonts w:asciiTheme="minorHAnsi" w:hAnsiTheme="minorHAnsi"/>
                <w:u w:val="none"/>
              </w:rPr>
              <w:t xml:space="preserve">  NOVÝ</w:t>
            </w:r>
            <w:proofErr w:type="gramEnd"/>
            <w:r w:rsidRPr="00173931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275" w:type="dxa"/>
            <w:shd w:val="clear" w:color="auto" w:fill="FFFF99"/>
          </w:tcPr>
          <w:p w:rsidR="00C26A1B" w:rsidRPr="00173931" w:rsidRDefault="00C26A1B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7393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7622E4" w:rsidRPr="007622E4" w:rsidTr="004D6224">
        <w:trPr>
          <w:cantSplit/>
        </w:trPr>
        <w:tc>
          <w:tcPr>
            <w:tcW w:w="2197" w:type="dxa"/>
            <w:vAlign w:val="center"/>
          </w:tcPr>
          <w:p w:rsidR="007622E4" w:rsidRPr="007622E4" w:rsidRDefault="007622E4" w:rsidP="004D6224">
            <w:pPr>
              <w:rPr>
                <w:rFonts w:asciiTheme="minorHAnsi" w:hAnsiTheme="minorHAnsi"/>
                <w:sz w:val="24"/>
                <w:szCs w:val="24"/>
              </w:rPr>
            </w:pPr>
            <w:r w:rsidRPr="007622E4">
              <w:rPr>
                <w:rFonts w:asciiTheme="minorHAnsi" w:hAnsiTheme="minorHAnsi"/>
                <w:sz w:val="24"/>
                <w:szCs w:val="24"/>
              </w:rPr>
              <w:t>HORÁK Bedřich</w:t>
            </w:r>
          </w:p>
        </w:tc>
        <w:tc>
          <w:tcPr>
            <w:tcW w:w="6237" w:type="dxa"/>
            <w:vAlign w:val="center"/>
          </w:tcPr>
          <w:p w:rsidR="007622E4" w:rsidRPr="007622E4" w:rsidRDefault="007622E4" w:rsidP="004D6224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7622E4">
              <w:rPr>
                <w:rFonts w:asciiTheme="minorHAnsi" w:hAnsiTheme="minorHAnsi"/>
                <w:i/>
                <w:sz w:val="24"/>
              </w:rPr>
              <w:t>„</w:t>
            </w:r>
            <w:r w:rsidRPr="007622E4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I Giudei che hanno creduto” (Gv 8,30-59): la loro funzione nel contesto del Quarto vangelo. Studio esegetico-teologico</w:t>
            </w:r>
          </w:p>
        </w:tc>
        <w:tc>
          <w:tcPr>
            <w:tcW w:w="1275" w:type="dxa"/>
            <w:vAlign w:val="center"/>
          </w:tcPr>
          <w:p w:rsidR="007622E4" w:rsidRPr="007622E4" w:rsidRDefault="007622E4" w:rsidP="004D6224">
            <w:pPr>
              <w:rPr>
                <w:rFonts w:asciiTheme="minorHAnsi" w:hAnsiTheme="minorHAnsi"/>
                <w:sz w:val="24"/>
                <w:szCs w:val="24"/>
              </w:rPr>
            </w:pPr>
            <w:r w:rsidRPr="007622E4">
              <w:rPr>
                <w:rFonts w:asciiTheme="minorHAnsi" w:hAnsiTheme="minorHAnsi"/>
                <w:sz w:val="24"/>
                <w:szCs w:val="24"/>
              </w:rPr>
              <w:t>20. 6. 2016</w:t>
            </w:r>
          </w:p>
        </w:tc>
      </w:tr>
      <w:tr w:rsidR="000902DE" w:rsidRPr="00173931" w:rsidTr="00A61321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</w:tcPr>
          <w:p w:rsidR="000902DE" w:rsidRPr="00173931" w:rsidRDefault="000902DE" w:rsidP="000902DE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7393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73931">
              <w:rPr>
                <w:rFonts w:asciiTheme="minorHAnsi" w:hAnsiTheme="minorHAnsi"/>
                <w:u w:val="none"/>
              </w:rPr>
              <w:t xml:space="preserve">  </w:t>
            </w:r>
            <w:r>
              <w:rPr>
                <w:rFonts w:asciiTheme="minorHAnsi" w:hAnsiTheme="minorHAnsi"/>
                <w:u w:val="none"/>
              </w:rPr>
              <w:t>STARÝ</w:t>
            </w:r>
            <w:proofErr w:type="gramEnd"/>
            <w:r w:rsidRPr="00173931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275" w:type="dxa"/>
            <w:shd w:val="clear" w:color="auto" w:fill="FFFF99"/>
          </w:tcPr>
          <w:p w:rsidR="000902DE" w:rsidRPr="00173931" w:rsidRDefault="000902DE" w:rsidP="00A61321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7393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0902DE" w:rsidRPr="007622E4" w:rsidTr="004D6224">
        <w:trPr>
          <w:cantSplit/>
        </w:trPr>
        <w:tc>
          <w:tcPr>
            <w:tcW w:w="2197" w:type="dxa"/>
            <w:vAlign w:val="center"/>
          </w:tcPr>
          <w:p w:rsidR="000902DE" w:rsidRPr="000902DE" w:rsidRDefault="000902DE" w:rsidP="00AB25DD">
            <w:pPr>
              <w:pStyle w:val="Nadpis2"/>
              <w:rPr>
                <w:rFonts w:asciiTheme="minorHAnsi" w:hAnsiTheme="minorHAnsi"/>
              </w:rPr>
            </w:pPr>
            <w:proofErr w:type="spellStart"/>
            <w:r w:rsidRPr="000902DE">
              <w:rPr>
                <w:rFonts w:asciiTheme="minorHAnsi" w:hAnsiTheme="minorHAnsi"/>
              </w:rPr>
              <w:t>PRIHATNÝ</w:t>
            </w:r>
            <w:proofErr w:type="spellEnd"/>
            <w:r w:rsidRPr="000902DE">
              <w:rPr>
                <w:rFonts w:asciiTheme="minorHAnsi" w:hAnsiTheme="minorHAnsi"/>
              </w:rPr>
              <w:t xml:space="preserve"> Pavol</w:t>
            </w:r>
          </w:p>
        </w:tc>
        <w:tc>
          <w:tcPr>
            <w:tcW w:w="6237" w:type="dxa"/>
            <w:vAlign w:val="center"/>
          </w:tcPr>
          <w:p w:rsidR="000902DE" w:rsidRPr="000902DE" w:rsidRDefault="000902DE" w:rsidP="00AB25DD">
            <w:pPr>
              <w:rPr>
                <w:rFonts w:asciiTheme="minorHAnsi" w:hAnsiTheme="minorHAnsi"/>
                <w:i/>
                <w:sz w:val="24"/>
                <w:szCs w:val="32"/>
              </w:rPr>
            </w:pP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Pedagogick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  <w:lang w:val="fr-FR"/>
              </w:rPr>
              <w:t xml:space="preserve">é 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dôrazy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v 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zakazujúcich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sentenciách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v 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Knihe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Sirachovho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syna. </w:t>
            </w:r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"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Dieťa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 moje, po celý život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skú</w:t>
            </w:r>
            <w:bookmarkStart w:id="0" w:name="_GoBack"/>
            <w:bookmarkEnd w:id="0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maj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svoju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dušu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a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uvedom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si,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čo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je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pre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ňu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zl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  <w:lang w:val="fr-FR"/>
              </w:rPr>
              <w:t>é</w:t>
            </w:r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, a to jej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nedovoľ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.</w:t>
            </w:r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” (Sir 37,27)</w:t>
            </w:r>
          </w:p>
        </w:tc>
        <w:tc>
          <w:tcPr>
            <w:tcW w:w="1275" w:type="dxa"/>
            <w:vAlign w:val="center"/>
          </w:tcPr>
          <w:p w:rsidR="000902DE" w:rsidRPr="000902DE" w:rsidRDefault="000902DE" w:rsidP="00AB25DD">
            <w:pPr>
              <w:rPr>
                <w:rFonts w:asciiTheme="minorHAnsi" w:hAnsiTheme="minorHAnsi"/>
                <w:sz w:val="24"/>
              </w:rPr>
            </w:pPr>
            <w:r w:rsidRPr="000902DE">
              <w:rPr>
                <w:rFonts w:asciiTheme="minorHAnsi" w:hAnsiTheme="minorHAnsi"/>
                <w:sz w:val="24"/>
              </w:rPr>
              <w:t>10. 6. 2019</w:t>
            </w:r>
          </w:p>
        </w:tc>
      </w:tr>
    </w:tbl>
    <w:p w:rsidR="00C26A1B" w:rsidRDefault="00C26A1B" w:rsidP="00C26A1B">
      <w:pPr>
        <w:rPr>
          <w:b/>
          <w:sz w:val="26"/>
          <w:szCs w:val="26"/>
          <w:highlight w:val="cyan"/>
          <w:u w:val="single"/>
        </w:rPr>
      </w:pPr>
    </w:p>
    <w:sectPr w:rsidR="00C26A1B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53BAD"/>
    <w:rsid w:val="00071B7A"/>
    <w:rsid w:val="00072145"/>
    <w:rsid w:val="000902DE"/>
    <w:rsid w:val="0009234A"/>
    <w:rsid w:val="000A0CAA"/>
    <w:rsid w:val="000A47A9"/>
    <w:rsid w:val="000E3041"/>
    <w:rsid w:val="0014535E"/>
    <w:rsid w:val="00173931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606B4"/>
    <w:rsid w:val="00360937"/>
    <w:rsid w:val="0036758E"/>
    <w:rsid w:val="00375E13"/>
    <w:rsid w:val="00394EDE"/>
    <w:rsid w:val="003B7AFC"/>
    <w:rsid w:val="003C1AAA"/>
    <w:rsid w:val="004309FC"/>
    <w:rsid w:val="00431693"/>
    <w:rsid w:val="00434052"/>
    <w:rsid w:val="0044463C"/>
    <w:rsid w:val="00457E85"/>
    <w:rsid w:val="00465B34"/>
    <w:rsid w:val="00492131"/>
    <w:rsid w:val="004B1A59"/>
    <w:rsid w:val="004C69C4"/>
    <w:rsid w:val="004D6224"/>
    <w:rsid w:val="004E32EC"/>
    <w:rsid w:val="00514FEE"/>
    <w:rsid w:val="00565390"/>
    <w:rsid w:val="005D0DED"/>
    <w:rsid w:val="005E21E8"/>
    <w:rsid w:val="00641D88"/>
    <w:rsid w:val="006502C0"/>
    <w:rsid w:val="00660E20"/>
    <w:rsid w:val="00677B6E"/>
    <w:rsid w:val="00693FA4"/>
    <w:rsid w:val="007010D3"/>
    <w:rsid w:val="00720DB9"/>
    <w:rsid w:val="00734ACE"/>
    <w:rsid w:val="007622E4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E5EEE"/>
    <w:rsid w:val="0091364D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C06628"/>
    <w:rsid w:val="00C20A8E"/>
    <w:rsid w:val="00C261F0"/>
    <w:rsid w:val="00C26A1B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10</cp:revision>
  <cp:lastPrinted>2001-06-12T07:11:00Z</cp:lastPrinted>
  <dcterms:created xsi:type="dcterms:W3CDTF">2015-08-12T09:37:00Z</dcterms:created>
  <dcterms:modified xsi:type="dcterms:W3CDTF">2019-07-03T14:45:00Z</dcterms:modified>
</cp:coreProperties>
</file>